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34"/>
        <w:gridCol w:w="3107"/>
      </w:tblGrid>
      <w:tr w:rsidR="003B4071" w:rsidRPr="003B4071" w14:paraId="15683E3F" w14:textId="77777777" w:rsidTr="00C56967">
        <w:trPr>
          <w:trHeight w:hRule="exact" w:val="170"/>
        </w:trPr>
        <w:tc>
          <w:tcPr>
            <w:tcW w:w="7434" w:type="dxa"/>
          </w:tcPr>
          <w:p w14:paraId="666A265E" w14:textId="77777777" w:rsidR="006D1744" w:rsidRPr="003B4071" w:rsidRDefault="006D1744" w:rsidP="00346DF4">
            <w:pPr>
              <w:pStyle w:val="GSIAbs"/>
              <w:jc w:val="both"/>
              <w:rPr>
                <w:rFonts w:ascii="Calibri" w:hAnsi="Calibri"/>
              </w:rPr>
            </w:pPr>
            <w:r w:rsidRPr="003B4071">
              <w:rPr>
                <w:rFonts w:ascii="Calibri" w:hAnsi="Calibri" w:cs="Arial"/>
                <w:noProof/>
                <w:sz w:val="22"/>
                <w:lang w:eastAsia="de-DE"/>
              </w:rPr>
              <mc:AlternateContent>
                <mc:Choice Requires="wps">
                  <w:drawing>
                    <wp:anchor distT="0" distB="0" distL="114300" distR="114300" simplePos="0" relativeHeight="251659264" behindDoc="0" locked="0" layoutInCell="1" allowOverlap="1" wp14:anchorId="670FF3C8" wp14:editId="6A083597">
                      <wp:simplePos x="0" y="0"/>
                      <wp:positionH relativeFrom="column">
                        <wp:posOffset>-87630</wp:posOffset>
                      </wp:positionH>
                      <wp:positionV relativeFrom="paragraph">
                        <wp:posOffset>-360680</wp:posOffset>
                      </wp:positionV>
                      <wp:extent cx="4857702" cy="292842"/>
                      <wp:effectExtent l="0" t="0" r="635" b="0"/>
                      <wp:wrapNone/>
                      <wp:docPr id="14" name="Textfeld 14"/>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082AC06A" w14:textId="77777777" w:rsidR="006D1744" w:rsidRPr="004C3656" w:rsidRDefault="006D1744" w:rsidP="006D1744">
                                  <w:r w:rsidRPr="007231C1">
                                    <w:rPr>
                                      <w:i/>
                                      <w:sz w:val="16"/>
                                      <w:szCs w:val="16"/>
                                    </w:rPr>
                                    <w:t xml:space="preserve">To be retained by the bidder; do not return with the </w:t>
                                  </w:r>
                                  <w:r>
                                    <w:rPr>
                                      <w:i/>
                                      <w:sz w:val="16"/>
                                      <w:szCs w:val="16"/>
                                    </w:rPr>
                                    <w:t xml:space="preserve">application for participation or the </w:t>
                                  </w:r>
                                  <w:r w:rsidRPr="007231C1">
                                    <w:rPr>
                                      <w:i/>
                                      <w:sz w:val="16"/>
                                      <w:szCs w:val="16"/>
                                    </w:rPr>
                                    <w:t>bid!</w:t>
                                  </w:r>
                                </w:p>
                                <w:p w14:paraId="6B24632B"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670FF3C8">
                      <v:stroke joinstyle="miter"/>
                      <v:path gradientshapeok="t" o:connecttype="rect"/>
                    </v:shapetype>
                    <v:shape id="Textfeld 14" style="position:absolute;left:0;text-align:left;margin-left:-6.9pt;margin-top:-28.4pt;width:382.5pt;height: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">
                      <v:textbox>
                        <w:txbxContent>
                          <w:p w:rsidRPr="004C3656" w:rsidR="006D1744" w:rsidP="006D1744" w:rsidRDefault="006D1744" w14:paraId="082AC06A" w14:textId="77777777">
                            <w:r w:rsidRPr="007231C1">
                              <w:rPr>
                                <w:i/>
                                <w:sz w:val="16"/>
                                <w:szCs w:val="16"/>
                              </w:rPr>
                              <w:t xml:space="preserve">To be retained by the bidder; do not </w:t>
                            </w:r>
                            <w:r w:rsidRPr="007231C1">
                              <w:rPr>
                                <w:i/>
                                <w:sz w:val="16"/>
                                <w:szCs w:val="16"/>
                              </w:rPr>
                              <w:t xml:space="preserve">return </w:t>
                            </w:r>
                            <w:r w:rsidRPr="007231C1">
                              <w:rPr>
                                <w:i/>
                                <w:sz w:val="16"/>
                                <w:szCs w:val="16"/>
                              </w:rPr>
                              <w:t xml:space="preserve">with the </w:t>
                            </w:r>
                            <w:r>
                              <w:rPr>
                                <w:i/>
                                <w:sz w:val="16"/>
                                <w:szCs w:val="16"/>
                              </w:rPr>
                              <w:t xml:space="preserve">application for participation or the </w:t>
                            </w:r>
                            <w:r w:rsidRPr="007231C1">
                              <w:rPr>
                                <w:i/>
                                <w:sz w:val="16"/>
                                <w:szCs w:val="16"/>
                              </w:rPr>
                              <w:t xml:space="preserve">bid!</w:t>
                            </w:r>
                          </w:p>
                          <w:p w:rsidR="006D1744" w:rsidP="006D1744" w:rsidRDefault="006D1744" w14:paraId="6B24632B" w14:textId="77777777"/>
                        </w:txbxContent>
                      </v:textbox>
                    </v:shape>
                  </w:pict>
                </mc:Fallback>
              </mc:AlternateContent>
            </w:r>
          </w:p>
        </w:tc>
        <w:tc>
          <w:tcPr>
            <w:tcW w:w="3107" w:type="dxa"/>
            <w:vMerge w:val="restart"/>
          </w:tcPr>
          <w:p w14:paraId="114EC1AA" w14:textId="77777777" w:rsidR="006D1744" w:rsidRPr="003B4071" w:rsidRDefault="006D1744" w:rsidP="00346DF4">
            <w:pPr>
              <w:pStyle w:val="GSIAdr"/>
              <w:spacing w:before="120"/>
              <w:jc w:val="both"/>
              <w:rPr>
                <w:rFonts w:ascii="Calibri" w:hAnsi="Calibri"/>
              </w:rPr>
            </w:pPr>
          </w:p>
        </w:tc>
      </w:tr>
      <w:tr w:rsidR="003B4071" w:rsidRPr="003B4071" w14:paraId="1AA07460" w14:textId="77777777" w:rsidTr="00C56967">
        <w:trPr>
          <w:trHeight w:hRule="exact" w:val="3062"/>
        </w:trPr>
        <w:tc>
          <w:tcPr>
            <w:tcW w:w="7434" w:type="dxa"/>
          </w:tcPr>
          <w:p w14:paraId="5B28C629" w14:textId="77777777" w:rsidR="00012303" w:rsidRPr="003B4071" w:rsidRDefault="006D1744" w:rsidP="00346DF4">
            <w:pPr>
              <w:pStyle w:val="GSIEmpf"/>
              <w:jc w:val="both"/>
              <w:rPr>
                <w:rFonts w:ascii="Calibri" w:hAnsi="Calibri"/>
                <w:sz w:val="24"/>
                <w:szCs w:val="24"/>
              </w:rPr>
            </w:pPr>
            <w:r w:rsidRPr="003B4071">
              <w:rPr>
                <w:rFonts w:ascii="Calibri" w:hAnsi="Calibri" w:cs="Arial"/>
                <w:noProof/>
                <w:sz w:val="22"/>
                <w:lang w:eastAsia="de-DE"/>
              </w:rPr>
              <mc:AlternateContent>
                <mc:Choice Requires="wps">
                  <w:drawing>
                    <wp:anchor distT="0" distB="0" distL="114300" distR="114300" simplePos="0" relativeHeight="251660288" behindDoc="0" locked="0" layoutInCell="1" allowOverlap="1" wp14:anchorId="57FCDE4F" wp14:editId="1AE97197">
                      <wp:simplePos x="0" y="0"/>
                      <wp:positionH relativeFrom="column">
                        <wp:posOffset>-87630</wp:posOffset>
                      </wp:positionH>
                      <wp:positionV relativeFrom="paragraph">
                        <wp:posOffset>-468630</wp:posOffset>
                      </wp:positionV>
                      <wp:extent cx="4857702" cy="292842"/>
                      <wp:effectExtent l="0" t="0" r="635" b="0"/>
                      <wp:wrapNone/>
                      <wp:docPr id="7" name="Textfeld 7"/>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2C43E8A4" w14:textId="77777777" w:rsidR="006D1744" w:rsidRPr="004C3656" w:rsidRDefault="006D1744" w:rsidP="006D1744">
                                  <w:r w:rsidRPr="007231C1">
                                    <w:rPr>
                                      <w:i/>
                                      <w:sz w:val="16"/>
                                      <w:szCs w:val="16"/>
                                    </w:rPr>
                                    <w:t xml:space="preserve">To be retained by the bidder; do not return with the </w:t>
                                  </w:r>
                                  <w:r>
                                    <w:rPr>
                                      <w:i/>
                                      <w:sz w:val="16"/>
                                      <w:szCs w:val="16"/>
                                    </w:rPr>
                                    <w:t xml:space="preserve">application for participation or the </w:t>
                                  </w:r>
                                  <w:r w:rsidRPr="007231C1">
                                    <w:rPr>
                                      <w:i/>
                                      <w:sz w:val="16"/>
                                      <w:szCs w:val="16"/>
                                    </w:rPr>
                                    <w:t>bid!</w:t>
                                  </w:r>
                                </w:p>
                                <w:p w14:paraId="4440AD06"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Textfeld 7" style="position:absolute;left:0;text-align:left;margin-left:-6.9pt;margin-top:-36.9pt;width:382.5pt;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" w14:anchorId="57FCDE4F">
                      <v:textbox>
                        <w:txbxContent>
                          <w:p w:rsidRPr="004C3656" w:rsidR="006D1744" w:rsidP="006D1744" w:rsidRDefault="006D1744" w14:paraId="2C43E8A4" w14:textId="77777777">
                            <w:r w:rsidRPr="007231C1">
                              <w:rPr>
                                <w:i/>
                                <w:sz w:val="16"/>
                                <w:szCs w:val="16"/>
                              </w:rPr>
                              <w:t xml:space="preserve">To be retained by the bidder; do not </w:t>
                            </w:r>
                            <w:r w:rsidRPr="007231C1">
                              <w:rPr>
                                <w:i/>
                                <w:sz w:val="16"/>
                                <w:szCs w:val="16"/>
                              </w:rPr>
                              <w:t xml:space="preserve">return </w:t>
                            </w:r>
                            <w:r w:rsidRPr="007231C1">
                              <w:rPr>
                                <w:i/>
                                <w:sz w:val="16"/>
                                <w:szCs w:val="16"/>
                              </w:rPr>
                              <w:t xml:space="preserve">with the </w:t>
                            </w:r>
                            <w:r>
                              <w:rPr>
                                <w:i/>
                                <w:sz w:val="16"/>
                                <w:szCs w:val="16"/>
                              </w:rPr>
                              <w:t xml:space="preserve">application for participation or the </w:t>
                            </w:r>
                            <w:r w:rsidRPr="007231C1">
                              <w:rPr>
                                <w:i/>
                                <w:sz w:val="16"/>
                                <w:szCs w:val="16"/>
                              </w:rPr>
                              <w:t xml:space="preserve">bid!</w:t>
                            </w:r>
                          </w:p>
                          <w:p w:rsidR="006D1744" w:rsidP="006D1744" w:rsidRDefault="006D1744" w14:paraId="4440AD06" w14:textId="77777777"/>
                        </w:txbxContent>
                      </v:textbox>
                    </v:shape>
                  </w:pict>
                </mc:Fallback>
              </mc:AlternateContent>
            </w:r>
          </w:p>
          <w:p w14:paraId="4646F37A" w14:textId="77777777" w:rsidR="00012303" w:rsidRPr="003B4071" w:rsidRDefault="00012303" w:rsidP="00012303"/>
          <w:p w14:paraId="2AF76E55" w14:textId="77777777" w:rsidR="00012303" w:rsidRPr="003B4071" w:rsidRDefault="00012303" w:rsidP="00012303"/>
          <w:p w14:paraId="715072A4" w14:textId="77777777" w:rsidR="00012303" w:rsidRPr="003B4071" w:rsidRDefault="00012303" w:rsidP="00012303"/>
          <w:p w14:paraId="5415946D" w14:textId="77777777" w:rsidR="006D1744" w:rsidRDefault="00012303" w:rsidP="00012303">
            <w:pPr>
              <w:rPr>
                <w:rFonts w:ascii="Calibri" w:hAnsi="Calibri"/>
                <w:b/>
                <w:sz w:val="24"/>
                <w:szCs w:val="24"/>
              </w:rPr>
            </w:pPr>
            <w:r w:rsidRPr="003B4071">
              <w:rPr>
                <w:rFonts w:ascii="Calibri" w:hAnsi="Calibri"/>
                <w:b/>
                <w:sz w:val="24"/>
                <w:szCs w:val="24"/>
              </w:rPr>
              <w:t>To all bidders</w:t>
            </w:r>
          </w:p>
          <w:p w14:paraId="2ADDEABB" w14:textId="74413A11" w:rsidR="003D4DF5" w:rsidRPr="003D4DF5" w:rsidRDefault="003D4DF5" w:rsidP="00012303">
            <w:pPr>
              <w:rPr>
                <w:rFonts w:ascii="Calibri" w:hAnsi="Calibri"/>
                <w:b/>
                <w:color w:val="FF0000"/>
                <w:sz w:val="24"/>
                <w:szCs w:val="24"/>
              </w:rPr>
            </w:pPr>
            <w:r w:rsidRPr="003D4DF5">
              <w:rPr>
                <w:rFonts w:ascii="Calibri" w:hAnsi="Calibri"/>
                <w:b/>
                <w:color w:val="FF0000"/>
                <w:sz w:val="24"/>
                <w:szCs w:val="24"/>
                <w:highlight w:val="yellow"/>
              </w:rPr>
              <w:t>ENGLISH VERSION FOR INFORMATION ONLY!</w:t>
            </w:r>
          </w:p>
          <w:p w14:paraId="364AED86" w14:textId="26E630AF" w:rsidR="003D4DF5" w:rsidRPr="003B4071" w:rsidRDefault="003D4DF5" w:rsidP="00012303"/>
        </w:tc>
        <w:tc>
          <w:tcPr>
            <w:tcW w:w="3107" w:type="dxa"/>
            <w:vMerge/>
          </w:tcPr>
          <w:p w14:paraId="7386EF8A" w14:textId="77777777" w:rsidR="006D1744" w:rsidRPr="003B4071" w:rsidRDefault="006D1744" w:rsidP="00346DF4">
            <w:pPr>
              <w:jc w:val="both"/>
              <w:rPr>
                <w:rFonts w:ascii="Calibri" w:hAnsi="Calibri"/>
              </w:rPr>
            </w:pPr>
          </w:p>
        </w:tc>
      </w:tr>
      <w:tr w:rsidR="003B4071" w:rsidRPr="003B4071" w14:paraId="043792FD" w14:textId="77777777" w:rsidTr="003B4071">
        <w:trPr>
          <w:trHeight w:val="551"/>
        </w:trPr>
        <w:tc>
          <w:tcPr>
            <w:tcW w:w="7434" w:type="dxa"/>
          </w:tcPr>
          <w:p w14:paraId="189D4871" w14:textId="77777777" w:rsidR="006D1744" w:rsidRPr="003B4071" w:rsidRDefault="006D1744" w:rsidP="00346DF4">
            <w:pPr>
              <w:pStyle w:val="berschrift2"/>
              <w:numPr>
                <w:ilvl w:val="0"/>
                <w:numId w:val="0"/>
              </w:numPr>
              <w:jc w:val="both"/>
              <w:outlineLvl w:val="1"/>
              <w:rPr>
                <w:rFonts w:ascii="Calibri" w:hAnsi="Calibri"/>
                <w:color w:val="auto"/>
              </w:rPr>
            </w:pPr>
            <w:r w:rsidRPr="003B4071">
              <w:rPr>
                <w:rFonts w:ascii="Calibri" w:hAnsi="Calibri" w:cs="Arial"/>
                <w:noProof/>
                <w:color w:val="auto"/>
                <w:sz w:val="22"/>
                <w:lang w:eastAsia="de-DE"/>
              </w:rPr>
              <mc:AlternateContent>
                <mc:Choice Requires="wps">
                  <w:drawing>
                    <wp:anchor distT="0" distB="0" distL="114300" distR="114300" simplePos="0" relativeHeight="251661312" behindDoc="0" locked="0" layoutInCell="1" allowOverlap="1" wp14:anchorId="08B76F1F" wp14:editId="002EB3C2">
                      <wp:simplePos x="0" y="0"/>
                      <wp:positionH relativeFrom="column">
                        <wp:posOffset>-89535</wp:posOffset>
                      </wp:positionH>
                      <wp:positionV relativeFrom="paragraph">
                        <wp:posOffset>-2413000</wp:posOffset>
                      </wp:positionV>
                      <wp:extent cx="4857702" cy="1409700"/>
                      <wp:effectExtent l="0" t="0" r="635" b="0"/>
                      <wp:wrapNone/>
                      <wp:docPr id="9" name="Textfeld 9"/>
                      <wp:cNvGraphicFramePr/>
                      <a:graphic xmlns:a="http://schemas.openxmlformats.org/drawingml/2006/main">
                        <a:graphicData uri="http://schemas.microsoft.com/office/word/2010/wordprocessingShape">
                          <wps:wsp>
                            <wps:cNvSpPr txBox="1"/>
                            <wps:spPr>
                              <a:xfrm>
                                <a:off x="0" y="0"/>
                                <a:ext cx="4857702" cy="1409700"/>
                              </a:xfrm>
                              <a:prstGeom prst="rect">
                                <a:avLst/>
                              </a:prstGeom>
                              <a:solidFill>
                                <a:schemeClr val="lt1"/>
                              </a:solidFill>
                              <a:ln w="6350">
                                <a:noFill/>
                              </a:ln>
                            </wps:spPr>
                            <wps:txbx>
                              <w:txbxContent>
                                <w:p w14:paraId="6B54355B" w14:textId="77777777" w:rsidR="003D4DF5" w:rsidRPr="00622ECB" w:rsidRDefault="003D4DF5" w:rsidP="003D4DF5">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188FCDB6" w14:textId="77777777" w:rsidR="003D4DF5" w:rsidRPr="001102D6" w:rsidRDefault="003D4DF5" w:rsidP="003D4DF5">
                                  <w:pPr>
                                    <w:rPr>
                                      <w:b/>
                                      <w:i/>
                                      <w:sz w:val="16"/>
                                      <w:szCs w:val="16"/>
                                      <w:lang w:val="en-GB"/>
                                    </w:rPr>
                                  </w:pPr>
                                  <w:r w:rsidRPr="001102D6">
                                    <w:rPr>
                                      <w:b/>
                                      <w:i/>
                                      <w:sz w:val="16"/>
                                      <w:szCs w:val="16"/>
                                      <w:lang w:val="en-GB"/>
                                    </w:rPr>
                                    <w:t>A Note on Gender:</w:t>
                                  </w:r>
                                </w:p>
                                <w:p w14:paraId="5FD37716" w14:textId="77777777" w:rsidR="003D4DF5" w:rsidRDefault="003D4DF5" w:rsidP="003D4DF5">
                                  <w:r w:rsidRPr="00501A8D">
                                    <w:rPr>
                                      <w:i/>
                                      <w:sz w:val="16"/>
                                      <w:szCs w:val="16"/>
                                      <w:lang w:val="en-GB"/>
                                    </w:rPr>
                                    <w:t>For reasons of readability, the language forms male, female and diverse (m/f/d) are not used concurrently. All gender markings and pronouns apply equally to all genders</w:t>
                                  </w:r>
                                </w:p>
                                <w:p w14:paraId="61A31EB6"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B76F1F" id="_x0000_t202" coordsize="21600,21600" o:spt="202" path="m,l,21600r21600,l21600,xe">
                      <v:stroke joinstyle="miter"/>
                      <v:path gradientshapeok="t" o:connecttype="rect"/>
                    </v:shapetype>
                    <v:shape id="Textfeld 9" o:spid="_x0000_s1028" type="#_x0000_t202" style="position:absolute;left:0;text-align:left;margin-left:-7.05pt;margin-top:-190pt;width:382.5pt;height:1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" fillcolor="white [3201]" stroked="f" strokeweight=".5pt">
                      <v:textbox>
                        <w:txbxContent>
                          <w:p w14:paraId="6B54355B" w14:textId="77777777" w:rsidR="003D4DF5" w:rsidRPr="00622ECB" w:rsidRDefault="003D4DF5" w:rsidP="003D4DF5">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188FCDB6" w14:textId="77777777" w:rsidR="003D4DF5" w:rsidRPr="001102D6" w:rsidRDefault="003D4DF5" w:rsidP="003D4DF5">
                            <w:pPr>
                              <w:rPr>
                                <w:b/>
                                <w:i/>
                                <w:sz w:val="16"/>
                                <w:szCs w:val="16"/>
                                <w:lang w:val="en-GB"/>
                              </w:rPr>
                            </w:pPr>
                            <w:r w:rsidRPr="001102D6">
                              <w:rPr>
                                <w:b/>
                                <w:i/>
                                <w:sz w:val="16"/>
                                <w:szCs w:val="16"/>
                                <w:lang w:val="en-GB"/>
                              </w:rPr>
                              <w:t>A Note on Gender:</w:t>
                            </w:r>
                          </w:p>
                          <w:p w14:paraId="5FD37716" w14:textId="77777777" w:rsidR="003D4DF5" w:rsidRDefault="003D4DF5" w:rsidP="003D4DF5">
                            <w:r w:rsidRPr="00501A8D">
                              <w:rPr>
                                <w:i/>
                                <w:sz w:val="16"/>
                                <w:szCs w:val="16"/>
                                <w:lang w:val="en-GB"/>
                              </w:rPr>
                              <w:t>For reasons of readability, the language forms male, female and diverse (m/f/d) are not used concurrently. All gender markings and pronouns apply equally to all genders</w:t>
                            </w:r>
                          </w:p>
                          <w:p w14:paraId="61A31EB6" w14:textId="77777777" w:rsidR="006D1744" w:rsidRDefault="006D1744" w:rsidP="006D1744"/>
                        </w:txbxContent>
                      </v:textbox>
                    </v:shape>
                  </w:pict>
                </mc:Fallback>
              </mc:AlternateContent>
            </w:r>
          </w:p>
        </w:tc>
        <w:tc>
          <w:tcPr>
            <w:tcW w:w="3107" w:type="dxa"/>
            <w:vMerge/>
          </w:tcPr>
          <w:p w14:paraId="64F0C80D" w14:textId="77777777" w:rsidR="006D1744" w:rsidRPr="003B4071" w:rsidRDefault="006D1744" w:rsidP="00346DF4">
            <w:pPr>
              <w:jc w:val="both"/>
              <w:rPr>
                <w:rFonts w:ascii="Calibri" w:hAnsi="Calibri"/>
              </w:rPr>
            </w:pPr>
          </w:p>
        </w:tc>
      </w:tr>
    </w:tbl>
    <w:p w14:paraId="630E957A" w14:textId="73DCA17C" w:rsidR="00A577C0" w:rsidRPr="003B4071" w:rsidRDefault="00CE5BF7" w:rsidP="00346DF4">
      <w:pPr>
        <w:tabs>
          <w:tab w:val="left" w:pos="7371"/>
        </w:tabs>
        <w:jc w:val="both"/>
        <w:rPr>
          <w:rFonts w:ascii="Calibri" w:hAnsi="Calibri" w:cs="Arial"/>
          <w:b/>
          <w:sz w:val="26"/>
          <w:szCs w:val="26"/>
        </w:rPr>
      </w:pPr>
      <w:r w:rsidRPr="003B4071">
        <w:rPr>
          <w:rFonts w:ascii="Calibri" w:hAnsi="Calibri" w:cs="Arial"/>
          <w:b/>
          <w:noProof/>
          <w:sz w:val="26"/>
          <w:szCs w:val="26"/>
          <w:lang w:eastAsia="de-DE"/>
        </w:rPr>
        <mc:AlternateContent>
          <mc:Choice Requires="wps">
            <w:drawing>
              <wp:anchor distT="0" distB="0" distL="114300" distR="114300" simplePos="0" relativeHeight="251663360" behindDoc="0" locked="0" layoutInCell="1" allowOverlap="1" wp14:anchorId="1AB2D57F" wp14:editId="59B52F92">
                <wp:simplePos x="0" y="0"/>
                <wp:positionH relativeFrom="rightMargin">
                  <wp:posOffset>127000</wp:posOffset>
                </wp:positionH>
                <wp:positionV relativeFrom="paragraph">
                  <wp:posOffset>342265</wp:posOffset>
                </wp:positionV>
                <wp:extent cx="1923691" cy="2035834"/>
                <wp:effectExtent l="0" t="0" r="635" b="2540"/>
                <wp:wrapNone/>
                <wp:docPr id="10" name="Textfeld 10"/>
                <wp:cNvGraphicFramePr/>
                <a:graphic xmlns:a="http://schemas.openxmlformats.org/drawingml/2006/main">
                  <a:graphicData uri="http://schemas.microsoft.com/office/word/2010/wordprocessingShape">
                    <wps:wsp>
                      <wps:cNvSpPr txBox="1"/>
                      <wps:spPr>
                        <a:xfrm>
                          <a:off x="0" y="0"/>
                          <a:ext cx="1923691" cy="2035834"/>
                        </a:xfrm>
                        <a:prstGeom prst="rect">
                          <a:avLst/>
                        </a:prstGeom>
                        <a:solidFill>
                          <a:sysClr val="window" lastClr="FFFFFF"/>
                        </a:solidFill>
                        <a:ln w="6350">
                          <a:noFill/>
                        </a:ln>
                      </wps:spPr>
                      <wps:txbx>
                        <w:txbxContent>
                          <w:p w14:paraId="661B93BA" w14:textId="77777777" w:rsidR="008375AB" w:rsidRDefault="008375AB" w:rsidP="008375AB">
                            <w:pPr>
                              <w:pStyle w:val="GSIPos"/>
                              <w:spacing w:after="0"/>
                            </w:pPr>
                            <w:r>
                              <w:t xml:space="preserve">Management: </w:t>
                            </w:r>
                          </w:p>
                          <w:p w14:paraId="4AFF2235" w14:textId="77777777" w:rsidR="008375AB" w:rsidRPr="00CF6509" w:rsidRDefault="008375AB" w:rsidP="008375AB">
                            <w:pPr>
                              <w:pStyle w:val="GSIPos"/>
                              <w:spacing w:after="0"/>
                            </w:pPr>
                            <w:r>
                              <w:t xml:space="preserve">Prof. Dr. </w:t>
                            </w:r>
                            <w:r w:rsidRPr="006B51E0">
                              <w:t>Thomas Nilsson</w:t>
                            </w:r>
                          </w:p>
                          <w:p w14:paraId="38D02AB7" w14:textId="77777777" w:rsidR="008375AB" w:rsidRDefault="008375AB" w:rsidP="008375AB">
                            <w:pPr>
                              <w:pStyle w:val="GSIPos"/>
                              <w:spacing w:after="0"/>
                            </w:pPr>
                            <w:r>
                              <w:t>Dr. Katharina Stummeyer</w:t>
                            </w:r>
                            <w:r>
                              <w:br/>
                              <w:t>Jörg Blaurock</w:t>
                            </w:r>
                          </w:p>
                          <w:p w14:paraId="250371B1" w14:textId="77777777" w:rsidR="00C43C8E" w:rsidRDefault="00C43C8E" w:rsidP="00CE5BF7">
                            <w:pPr>
                              <w:pStyle w:val="GSIPos"/>
                            </w:pPr>
                          </w:p>
                          <w:p w14:paraId="102D6A85" w14:textId="77777777" w:rsidR="00FA480F" w:rsidRDefault="00FA480F" w:rsidP="00FA480F">
                            <w:pPr>
                              <w:pStyle w:val="GSIPos"/>
                              <w:spacing w:after="0"/>
                            </w:pPr>
                            <w:r>
                              <w:t>Chair of the GSI Supervisory Board:</w:t>
                            </w:r>
                            <w:r>
                              <w:br/>
                              <w:t>Senior Ministerial Advisor Dr. Andrea Fischer</w:t>
                            </w:r>
                          </w:p>
                          <w:p w14:paraId="395C3447" w14:textId="77777777" w:rsidR="00FA480F" w:rsidRDefault="00FA480F" w:rsidP="00CE5BF7">
                            <w:pPr>
                              <w:pStyle w:val="GSIPos"/>
                            </w:pPr>
                          </w:p>
                          <w:p w14:paraId="214E57F8" w14:textId="77777777" w:rsidR="00CE5BF7" w:rsidRDefault="00CE5BF7" w:rsidP="00CE5BF7">
                            <w:pPr>
                              <w:pStyle w:val="GSIPos"/>
                            </w:pPr>
                            <w:r>
                              <w:t>Headquarters: Darmstadt</w:t>
                            </w:r>
                            <w:r>
                              <w:br/>
                              <w:t>Darmstadt Local Court HRB 1528</w:t>
                            </w:r>
                          </w:p>
                          <w:p w14:paraId="55918635" w14:textId="77777777" w:rsidR="00CE5BF7" w:rsidRDefault="00CE5BF7" w:rsidP="00CE5BF7">
                            <w:pPr>
                              <w:pStyle w:val="GSIPos"/>
                            </w:pPr>
                            <w:r>
                              <w:t>VAT ID: DE 111 671 917</w:t>
                            </w:r>
                            <w:r>
                              <w:br/>
                              <w:t>Landesbank Hessen/Thüringen</w:t>
                            </w:r>
                          </w:p>
                          <w:p w14:paraId="4AD6732C" w14:textId="77777777" w:rsidR="00CE5BF7" w:rsidRDefault="00CE5BF7" w:rsidP="00CE5BF7">
                            <w:pPr>
                              <w:pStyle w:val="GSIPos"/>
                            </w:pPr>
                            <w:r>
                              <w:t>IBAN DE56 5005 0000 5001 8650 04</w:t>
                            </w:r>
                            <w:r>
                              <w:br/>
                              <w:t>BIC HELA DE FF</w:t>
                            </w:r>
                          </w:p>
                          <w:p w14:paraId="200D499C" w14:textId="77777777" w:rsidR="00CE5BF7" w:rsidRDefault="00CE5BF7" w:rsidP="00CE5B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Textfeld 10" style="position:absolute;left:0;text-align:left;margin-left:10pt;margin-top:26.95pt;width:151.45pt;height:160.3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spid="_x0000_s1029" fillcolor="window"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" w14:anchorId="1AB2D57F">
                <v:textbox>
                  <w:txbxContent>
                    <w:p w:rsidR="008375AB" w:rsidP="008375AB" w:rsidRDefault="008375AB" w14:paraId="661B93BA" w14:textId="77777777">
                      <w:pPr>
                        <w:pStyle w:val="GSIPos"/>
                        <w:spacing w:after="0"/>
                      </w:pPr>
                      <w:r>
                        <w:t xml:space="preserve">Management: </w:t>
                      </w:r>
                    </w:p>
                    <w:p w:rsidRPr="00CF6509" w:rsidR="008375AB" w:rsidP="008375AB" w:rsidRDefault="008375AB" w14:paraId="4AFF2235" w14:textId="77777777">
                      <w:pPr>
                        <w:pStyle w:val="GSIPos"/>
                        <w:spacing w:after="0"/>
                      </w:pPr>
                      <w:r>
                        <w:t xml:space="preserve">Prof. Dr. </w:t>
                      </w:r>
                      <w:r w:rsidRPr="006B51E0">
                        <w:t xml:space="preserve">Thomas Nilsson</w:t>
                      </w:r>
                    </w:p>
                    <w:p w:rsidR="008375AB" w:rsidP="008375AB" w:rsidRDefault="008375AB" w14:paraId="38D02AB7" w14:textId="77777777">
                      <w:pPr>
                        <w:pStyle w:val="GSIPos"/>
                        <w:spacing w:after="0"/>
                      </w:pPr>
                      <w:r>
                        <w:t xml:space="preserve">Dr. Katharina Stummeyer</w:t>
                      </w:r>
                      <w:r>
                        <w:br/>
                      </w:r>
                      <w:r>
                        <w:t xml:space="preserve">Jörg Blaurock</w:t>
                      </w:r>
                    </w:p>
                    <w:p w:rsidR="00C43C8E" w:rsidP="00CE5BF7" w:rsidRDefault="00C43C8E" w14:paraId="250371B1" w14:textId="77777777">
                      <w:pPr>
                        <w:pStyle w:val="GSIPos"/>
                      </w:pPr>
                    </w:p>
                    <w:p w:rsidR="00FA480F" w:rsidP="00FA480F" w:rsidRDefault="00FA480F" w14:paraId="102D6A85" w14:textId="77777777">
                      <w:pPr>
                        <w:pStyle w:val="GSIPos"/>
                        <w:spacing w:after="0"/>
                      </w:pPr>
                      <w:r>
                        <w:t xml:space="preserve">Chair of the GSI Supervisory Board:</w:t>
                      </w:r>
                      <w:r>
                        <w:br/>
                      </w:r>
                      <w:r>
                        <w:t xml:space="preserve">Senior Ministerial Advisor Dr. Andrea Fischer</w:t>
                      </w:r>
                    </w:p>
                    <w:p w:rsidR="00FA480F" w:rsidP="00CE5BF7" w:rsidRDefault="00FA480F" w14:paraId="395C3447" w14:textId="77777777">
                      <w:pPr>
                        <w:pStyle w:val="GSIPos"/>
                      </w:pPr>
                    </w:p>
                    <w:p w:rsidR="00CE5BF7" w:rsidP="00CE5BF7" w:rsidRDefault="00CE5BF7" w14:paraId="214E57F8" w14:textId="77777777">
                      <w:pPr>
                        <w:pStyle w:val="GSIPos"/>
                      </w:pPr>
                      <w:r>
                        <w:t xml:space="preserve">Headquarters: Darmstadt</w:t>
                      </w:r>
                      <w:r>
                        <w:br/>
                      </w:r>
                      <w:r>
                        <w:t xml:space="preserve">Darmstadt Local Court HRB 1528</w:t>
                      </w:r>
                    </w:p>
                    <w:p w:rsidR="00CE5BF7" w:rsidP="00CE5BF7" w:rsidRDefault="00CE5BF7" w14:paraId="55918635" w14:textId="77777777">
                      <w:pPr>
                        <w:pStyle w:val="GSIPos"/>
                      </w:pPr>
                      <w:r>
                        <w:t xml:space="preserve">VAT ID: DE 111 671 917</w:t>
                      </w:r>
                      <w:r>
                        <w:br/>
                      </w:r>
                      <w:r>
                        <w:t xml:space="preserve">Landesbank Hessen/Thüringen</w:t>
                      </w:r>
                    </w:p>
                    <w:p w:rsidR="00CE5BF7" w:rsidP="00CE5BF7" w:rsidRDefault="00CE5BF7" w14:paraId="4AD6732C" w14:textId="77777777">
                      <w:pPr>
                        <w:pStyle w:val="GSIPos"/>
                      </w:pPr>
                      <w:r>
                        <w:t xml:space="preserve">IBAN DE56 5005 0000 5001 8650 04</w:t>
                      </w:r>
                      <w:r>
                        <w:br/>
                      </w:r>
                      <w:r>
                        <w:t xml:space="preserve">BIC HELA DE FF</w:t>
                      </w:r>
                    </w:p>
                    <w:p w:rsidR="00CE5BF7" w:rsidP="00CE5BF7" w:rsidRDefault="00CE5BF7" w14:paraId="200D499C" w14:textId="77777777"/>
                  </w:txbxContent>
                </v:textbox>
                <w10:wrap anchorx="margin"/>
              </v:shape>
            </w:pict>
          </mc:Fallback>
        </mc:AlternateContent>
      </w:r>
      <w:r w:rsidR="003D4DF5" w:rsidRPr="003D4DF5">
        <w:rPr>
          <w:rFonts w:ascii="Calibri" w:eastAsia="Calibri" w:hAnsi="Calibri" w:cs="Calibri"/>
          <w:b/>
          <w:color w:val="548DD4"/>
          <w:sz w:val="22"/>
          <w:lang w:val="en-GB"/>
        </w:rPr>
        <w:t xml:space="preserve"> </w:t>
      </w:r>
      <w:r w:rsidR="003D4DF5" w:rsidRPr="002C33A7">
        <w:rPr>
          <w:rFonts w:ascii="Calibri" w:eastAsia="Calibri" w:hAnsi="Calibri" w:cs="Calibri"/>
          <w:b/>
          <w:color w:val="548DD4"/>
          <w:sz w:val="22"/>
          <w:lang w:val="en-GB"/>
        </w:rPr>
        <w:t>Special Application Requirements for the Open Procedure According to § 15 VgV</w:t>
      </w:r>
    </w:p>
    <w:p w14:paraId="4189518C" w14:textId="6039D53A" w:rsidR="00A577C0" w:rsidRPr="003B4071" w:rsidRDefault="00A577C0" w:rsidP="00A52FD2">
      <w:pPr>
        <w:spacing w:line="276" w:lineRule="auto"/>
        <w:ind w:right="369"/>
        <w:jc w:val="both"/>
        <w:rPr>
          <w:rFonts w:ascii="Calibri" w:hAnsi="Calibri" w:cs="Arial"/>
          <w:sz w:val="22"/>
        </w:rPr>
      </w:pPr>
      <w:r w:rsidRPr="003B4071">
        <w:rPr>
          <w:rFonts w:ascii="Calibri" w:hAnsi="Calibri" w:cs="Arial"/>
          <w:sz w:val="22"/>
        </w:rPr>
        <w:t>Dear Sir or Madam,</w:t>
      </w:r>
    </w:p>
    <w:p w14:paraId="4C0A34BC" w14:textId="05C93D6D" w:rsidR="00A577C0" w:rsidRPr="003B4071" w:rsidRDefault="003D4DF5" w:rsidP="00A52FD2">
      <w:pPr>
        <w:tabs>
          <w:tab w:val="left" w:pos="3686"/>
        </w:tabs>
        <w:spacing w:line="276" w:lineRule="auto"/>
        <w:jc w:val="both"/>
        <w:rPr>
          <w:rFonts w:ascii="Calibri" w:hAnsi="Calibri" w:cs="Arial"/>
          <w:sz w:val="22"/>
        </w:rPr>
      </w:pPr>
      <w:r w:rsidRPr="002C33A7">
        <w:rPr>
          <w:rFonts w:ascii="Calibri" w:hAnsi="Calibri" w:cs="Calibri"/>
          <w:sz w:val="22"/>
          <w:lang w:val="en-GB"/>
        </w:rPr>
        <w:t xml:space="preserve">GSI Helmholtzzentrum für Schwerionenforschung GmbH </w:t>
      </w:r>
      <w:r w:rsidRPr="002C33A7">
        <w:rPr>
          <w:rFonts w:ascii="Calibri" w:eastAsia="Calibri" w:hAnsi="Calibri" w:cs="Calibri"/>
          <w:sz w:val="22"/>
          <w:lang w:val="en-GB"/>
        </w:rPr>
        <w:t xml:space="preserve">(hereinafter referred to as "GSI", "Awarding Authority" or "Client") </w:t>
      </w:r>
      <w:r w:rsidRPr="00466F01">
        <w:rPr>
          <w:rFonts w:ascii="Calibri" w:eastAsia="Calibri" w:hAnsi="Calibri" w:cs="Calibri"/>
          <w:sz w:val="22"/>
          <w:lang w:val="en-GB"/>
        </w:rPr>
        <w:t>conducts a</w:t>
      </w:r>
      <w:r>
        <w:rPr>
          <w:rFonts w:ascii="Calibri" w:eastAsia="Calibri" w:hAnsi="Calibri" w:cs="Calibri"/>
          <w:sz w:val="22"/>
          <w:lang w:val="en-GB"/>
        </w:rPr>
        <w:t xml:space="preserve">n open </w:t>
      </w:r>
      <w:r w:rsidRPr="00466F01">
        <w:rPr>
          <w:rFonts w:ascii="Calibri" w:eastAsia="Calibri" w:hAnsi="Calibri" w:cs="Calibri"/>
          <w:sz w:val="22"/>
          <w:lang w:val="en-GB"/>
        </w:rPr>
        <w:t>procedure</w:t>
      </w:r>
      <w:r>
        <w:rPr>
          <w:rFonts w:ascii="Calibri" w:eastAsia="Calibri" w:hAnsi="Calibri" w:cs="Calibri"/>
          <w:sz w:val="22"/>
          <w:lang w:val="en-GB"/>
        </w:rPr>
        <w:t xml:space="preserve"> </w:t>
      </w:r>
      <w:r w:rsidRPr="00466F01">
        <w:rPr>
          <w:rFonts w:ascii="Calibri" w:eastAsia="Calibri" w:hAnsi="Calibri" w:cs="Calibri"/>
          <w:sz w:val="22"/>
          <w:lang w:val="en-GB"/>
        </w:rPr>
        <w:t xml:space="preserve">according to § 15 VgV [transl.: </w:t>
      </w:r>
      <w:r w:rsidRPr="0077315C">
        <w:rPr>
          <w:rFonts w:ascii="Calibri" w:eastAsia="Calibri" w:hAnsi="Calibri" w:cs="Calibri"/>
          <w:sz w:val="22"/>
          <w:lang w:val="en-GB"/>
        </w:rPr>
        <w:t>Ordinance on the Award of Public Contracts (Procurement Ordinance)</w:t>
      </w:r>
      <w:r w:rsidRPr="00466F01">
        <w:rPr>
          <w:rFonts w:ascii="Calibri" w:eastAsia="Calibri" w:hAnsi="Calibri" w:cs="Calibri"/>
          <w:sz w:val="22"/>
          <w:lang w:val="en-GB"/>
        </w:rPr>
        <w:t>], §</w:t>
      </w:r>
      <w:r>
        <w:rPr>
          <w:rFonts w:ascii="Calibri" w:eastAsia="Calibri" w:hAnsi="Calibri" w:cs="Calibri"/>
          <w:sz w:val="22"/>
          <w:lang w:val="en-GB"/>
        </w:rPr>
        <w:t> 119 para. 3 GWB [transl.: Act a</w:t>
      </w:r>
      <w:r w:rsidRPr="00466F01">
        <w:rPr>
          <w:rFonts w:ascii="Calibri" w:eastAsia="Calibri" w:hAnsi="Calibri" w:cs="Calibri"/>
          <w:sz w:val="22"/>
          <w:lang w:val="en-GB"/>
        </w:rPr>
        <w:t>gainst Restraints of Competition] for the tender</w:t>
      </w:r>
      <w:r w:rsidR="003B4071" w:rsidRPr="003B4071">
        <w:rPr>
          <w:rFonts w:ascii="Calibri" w:hAnsi="Calibri" w:cs="Arial"/>
          <w:b/>
          <w:sz w:val="22"/>
        </w:rPr>
        <w:t xml:space="preserve">“SFRS Cryogenic Stopping </w:t>
      </w:r>
      <w:r w:rsidR="00A577C0" w:rsidRPr="003B4071">
        <w:rPr>
          <w:rFonts w:ascii="Calibri" w:hAnsi="Calibri" w:cs="Arial"/>
          <w:b/>
          <w:sz w:val="22"/>
        </w:rPr>
        <w:t xml:space="preserve">Cell” </w:t>
      </w:r>
      <w:r w:rsidR="00A577C0" w:rsidRPr="003B4071">
        <w:rPr>
          <w:rFonts w:ascii="Calibri" w:hAnsi="Calibri" w:cs="Arial"/>
          <w:sz w:val="22"/>
        </w:rPr>
        <w:t>under the following conditions:</w:t>
      </w:r>
    </w:p>
    <w:p w14:paraId="3E95F813" w14:textId="08F00160" w:rsidR="00A577C0" w:rsidRPr="003B4071" w:rsidRDefault="00A577C0" w:rsidP="00A52FD2">
      <w:pPr>
        <w:keepNext/>
        <w:spacing w:line="276" w:lineRule="auto"/>
        <w:ind w:right="369"/>
        <w:jc w:val="both"/>
        <w:rPr>
          <w:rFonts w:ascii="Calibri" w:hAnsi="Calibri" w:cs="Arial"/>
          <w:b/>
          <w:sz w:val="22"/>
        </w:rPr>
      </w:pPr>
      <w:r w:rsidRPr="003B4071">
        <w:rPr>
          <w:rFonts w:ascii="Calibri" w:hAnsi="Calibri" w:cs="Arial"/>
          <w:b/>
          <w:sz w:val="22"/>
        </w:rPr>
        <w:t xml:space="preserve">0. </w:t>
      </w:r>
      <w:r w:rsidR="003D4DF5" w:rsidRPr="00466F01">
        <w:rPr>
          <w:rFonts w:ascii="Calibri" w:eastAsia="Calibri" w:hAnsi="Calibri" w:cs="Calibri"/>
          <w:b/>
          <w:sz w:val="22"/>
          <w:lang w:val="en-GB"/>
        </w:rPr>
        <w:t>Notification of Ambiguities in the Tender Documents</w:t>
      </w:r>
    </w:p>
    <w:p w14:paraId="7C1AB9C0" w14:textId="77777777" w:rsidR="003D4DF5" w:rsidRPr="00466F01" w:rsidRDefault="003D4DF5" w:rsidP="003D4DF5">
      <w:pPr>
        <w:spacing w:line="278" w:lineRule="auto"/>
        <w:ind w:right="369"/>
        <w:rPr>
          <w:rFonts w:ascii="Calibri" w:eastAsia="Calibri" w:hAnsi="Calibri" w:cs="Calibri"/>
          <w:sz w:val="22"/>
          <w:lang w:val="en-GB"/>
        </w:rPr>
      </w:pPr>
      <w:r w:rsidRPr="00466F01">
        <w:rPr>
          <w:rFonts w:ascii="Calibri" w:eastAsia="Calibri" w:hAnsi="Calibri" w:cs="Calibri"/>
          <w:sz w:val="22"/>
          <w:lang w:val="en-GB"/>
        </w:rPr>
        <w:t>After receiving the tender documents, Bidder must check them for completeness. If the tender documents are incomplete or if they contain ambiguities in Bidder's opinion, Bidder must immediately inform Awarding Authority before submitting the tender via DTVP [transl.: German Awarding Platform].</w:t>
      </w:r>
    </w:p>
    <w:p w14:paraId="25AB2905" w14:textId="77777777" w:rsidR="00A577C0" w:rsidRPr="003B4071" w:rsidRDefault="00A577C0" w:rsidP="00A52FD2">
      <w:pPr>
        <w:pStyle w:val="Listenabsatz"/>
        <w:keepNext/>
        <w:numPr>
          <w:ilvl w:val="0"/>
          <w:numId w:val="30"/>
        </w:numPr>
        <w:spacing w:after="240"/>
        <w:ind w:left="0" w:firstLine="0"/>
        <w:contextualSpacing w:val="0"/>
        <w:jc w:val="both"/>
        <w:rPr>
          <w:rFonts w:cs="Arial"/>
          <w:b/>
          <w:bCs/>
        </w:rPr>
      </w:pPr>
      <w:r w:rsidRPr="003B4071">
        <w:rPr>
          <w:rFonts w:cs="Arial"/>
          <w:b/>
          <w:bCs/>
        </w:rPr>
        <w:t>Procurement Documents and Components of the Bid</w:t>
      </w:r>
    </w:p>
    <w:p w14:paraId="43454AF4" w14:textId="77777777" w:rsidR="003D4DF5" w:rsidRPr="00466F01" w:rsidRDefault="00A577C0" w:rsidP="003D4DF5">
      <w:pPr>
        <w:spacing w:after="200" w:line="276" w:lineRule="auto"/>
        <w:rPr>
          <w:rFonts w:ascii="Calibri" w:eastAsia="Calibri" w:hAnsi="Calibri" w:cs="Calibri"/>
          <w:sz w:val="22"/>
          <w:lang w:val="en-GB"/>
        </w:rPr>
      </w:pPr>
      <w:r w:rsidRPr="003B4071">
        <w:rPr>
          <w:rFonts w:cs="Arial"/>
          <w:b/>
          <w:u w:val="single"/>
        </w:rPr>
        <w:t xml:space="preserve">NOTE: </w:t>
      </w:r>
      <w:r w:rsidR="003D4DF5" w:rsidRPr="00466F01">
        <w:rPr>
          <w:rFonts w:ascii="Calibri" w:eastAsia="Calibri" w:hAnsi="Calibri" w:cs="Calibri"/>
          <w:sz w:val="22"/>
          <w:lang w:val="en-GB"/>
        </w:rPr>
        <w:t>To clarify matters, Awarding Authority emphasises that the terms "Candidate", "Bidder", "Tenderer" and "Contractor" each refer to the same (legal) person. The "Bidding Consortium" and the "Tenderer Consortium" are also used synonymously; for the sake of clarity, only the term "Bidding Consortium" is used in these documents.</w:t>
      </w:r>
    </w:p>
    <w:p w14:paraId="54593807" w14:textId="77777777" w:rsidR="003D4DF5" w:rsidRPr="00466F01" w:rsidRDefault="003D4DF5" w:rsidP="003D4DF5">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The following forms provided by </w:t>
      </w:r>
      <w:r>
        <w:rPr>
          <w:rFonts w:ascii="Calibri" w:eastAsia="Calibri" w:hAnsi="Calibri" w:cs="Calibri"/>
          <w:sz w:val="22"/>
          <w:lang w:val="en-GB"/>
        </w:rPr>
        <w:t>GSI</w:t>
      </w:r>
      <w:r w:rsidRPr="00466F01">
        <w:rPr>
          <w:rFonts w:ascii="Calibri" w:eastAsia="Calibri" w:hAnsi="Calibri" w:cs="Calibri"/>
          <w:sz w:val="22"/>
          <w:lang w:val="en-GB"/>
        </w:rPr>
        <w:t xml:space="preserve"> together with the award documents must be completed and submitted to Awarding Authority as part of the tender:</w:t>
      </w:r>
    </w:p>
    <w:p w14:paraId="0BF5F265" w14:textId="7E76FD32" w:rsidR="00A577C0" w:rsidRPr="00535EC0" w:rsidRDefault="003D4DF5" w:rsidP="003D4DF5">
      <w:pPr>
        <w:pStyle w:val="Listenabsatz"/>
        <w:spacing w:after="240"/>
        <w:contextualSpacing w:val="0"/>
        <w:jc w:val="both"/>
        <w:rPr>
          <w:rFonts w:cs="Arial"/>
          <w:b/>
        </w:rPr>
      </w:pPr>
      <w:r>
        <w:rPr>
          <w:rFonts w:cs="Arial"/>
          <w:b/>
        </w:rPr>
        <w:t>- Offer</w:t>
      </w:r>
      <w:r w:rsidR="00A577C0" w:rsidRPr="00535EC0">
        <w:rPr>
          <w:rFonts w:cs="Arial"/>
          <w:b/>
        </w:rPr>
        <w:t xml:space="preserve"> Form </w:t>
      </w:r>
    </w:p>
    <w:p w14:paraId="7560D2F9" w14:textId="77777777" w:rsidR="00A577C0" w:rsidRPr="00535EC0" w:rsidRDefault="00A577C0" w:rsidP="00A52FD2">
      <w:pPr>
        <w:pStyle w:val="Listenabsatz"/>
        <w:numPr>
          <w:ilvl w:val="0"/>
          <w:numId w:val="9"/>
        </w:numPr>
        <w:spacing w:after="240"/>
        <w:ind w:left="284" w:hanging="284"/>
        <w:jc w:val="both"/>
        <w:rPr>
          <w:rFonts w:cs="Arial"/>
          <w:b/>
        </w:rPr>
      </w:pPr>
      <w:r w:rsidRPr="00535EC0">
        <w:rPr>
          <w:rFonts w:cs="Arial"/>
          <w:b/>
        </w:rPr>
        <w:lastRenderedPageBreak/>
        <w:t xml:space="preserve">Company Profile Form </w:t>
      </w:r>
    </w:p>
    <w:p w14:paraId="6AB6D784" w14:textId="42E6373E" w:rsidR="00535EC0" w:rsidRPr="00535EC0" w:rsidRDefault="00245B05" w:rsidP="00535EC0">
      <w:pPr>
        <w:pStyle w:val="Listenabsatz"/>
        <w:numPr>
          <w:ilvl w:val="0"/>
          <w:numId w:val="9"/>
        </w:numPr>
        <w:spacing w:after="240"/>
        <w:ind w:left="284" w:hanging="284"/>
        <w:jc w:val="both"/>
        <w:rPr>
          <w:rFonts w:cs="Arial"/>
          <w:b/>
        </w:rPr>
      </w:pPr>
      <w:r>
        <w:rPr>
          <w:rFonts w:cs="Arial"/>
          <w:b/>
        </w:rPr>
        <w:t>T</w:t>
      </w:r>
      <w:r w:rsidR="00A577C0" w:rsidRPr="00535EC0">
        <w:rPr>
          <w:rFonts w:cs="Arial"/>
          <w:b/>
        </w:rPr>
        <w:t>he “References” form, with the following minimum requirements for references:</w:t>
      </w:r>
      <w:r w:rsidR="00535EC0" w:rsidRPr="00535EC0">
        <w:rPr>
          <w:rFonts w:cs="Arial"/>
          <w:b/>
        </w:rPr>
        <w:t xml:space="preserve"> The bidder must submit </w:t>
      </w:r>
      <w:r>
        <w:rPr>
          <w:rFonts w:cs="Arial"/>
          <w:b/>
        </w:rPr>
        <w:t>r</w:t>
      </w:r>
      <w:r w:rsidR="00535EC0" w:rsidRPr="00535EC0">
        <w:rPr>
          <w:rFonts w:cs="Arial"/>
          <w:b/>
        </w:rPr>
        <w:t>eference projects that demonstrate its experience with the design and manufacture (welding and machining) of comparable systems, such as large, custom-made UHV cryogenic chambers made of aluminum (with a length of at least 3 meters) or accelerator components with similar thermomechanical and purity requirements. For each reference, the bidder must specify the scope, the key technical parameters, the customer, the project duration, and the results of the FAT/SAT, including any significant nonconformities and their resolution. Experience with projects conducted under technical guidelines similar to those of GSI/FAIR or at large-scale research facilities should be particularly highlighted. In addition, the references must demonstrate verifiable experience with structural calculations in accordance with AD2000 or EN 13445, including approval by a notified body (certification by an independent body) for components longer than 3 meters.</w:t>
      </w:r>
    </w:p>
    <w:p w14:paraId="42CA0044" w14:textId="77777777" w:rsidR="00A577C0" w:rsidRPr="00535EC0" w:rsidRDefault="00A577C0" w:rsidP="00A52FD2">
      <w:pPr>
        <w:pStyle w:val="Listenabsatz"/>
        <w:numPr>
          <w:ilvl w:val="0"/>
          <w:numId w:val="9"/>
        </w:numPr>
        <w:spacing w:after="240"/>
        <w:ind w:left="284" w:hanging="284"/>
        <w:jc w:val="both"/>
        <w:rPr>
          <w:rFonts w:cs="Arial"/>
          <w:b/>
          <w:bCs/>
        </w:rPr>
      </w:pPr>
      <w:r w:rsidRPr="00535EC0">
        <w:rPr>
          <w:rFonts w:cs="Arial"/>
          <w:b/>
        </w:rPr>
        <w:t xml:space="preserve">Form: Declaration of Suitability </w:t>
      </w:r>
      <w:r w:rsidRPr="00535EC0">
        <w:rPr>
          <w:rFonts w:cs="Arial"/>
          <w:b/>
          <w:bCs/>
        </w:rPr>
        <w:t xml:space="preserve">pursuant to Sections 123, 124 of the German Act Against Restraints of Competition (GWB) </w:t>
      </w:r>
    </w:p>
    <w:p w14:paraId="5A791734" w14:textId="77777777" w:rsidR="00A577C0" w:rsidRPr="00535EC0" w:rsidRDefault="00A577C0" w:rsidP="00A52FD2">
      <w:pPr>
        <w:pStyle w:val="Listenabsatz"/>
        <w:numPr>
          <w:ilvl w:val="0"/>
          <w:numId w:val="9"/>
        </w:numPr>
        <w:spacing w:after="240"/>
        <w:ind w:left="284" w:hanging="284"/>
        <w:jc w:val="both"/>
        <w:rPr>
          <w:rFonts w:cs="Arial"/>
          <w:b/>
        </w:rPr>
      </w:pPr>
      <w:r w:rsidRPr="00535EC0">
        <w:rPr>
          <w:rFonts w:cs="Arial"/>
          <w:b/>
        </w:rPr>
        <w:t>Form for violations of the SchwarzArbG, the AEntG</w:t>
      </w:r>
      <w:bookmarkStart w:id="0" w:name="_Hlk501715253"/>
      <w:r w:rsidRPr="00535EC0">
        <w:rPr>
          <w:rFonts w:cs="Arial"/>
          <w:b/>
        </w:rPr>
        <w:t xml:space="preserve"> , the AufenthG, and</w:t>
      </w:r>
      <w:bookmarkEnd w:id="0"/>
      <w:r w:rsidRPr="00535EC0">
        <w:rPr>
          <w:rFonts w:cs="Arial"/>
          <w:b/>
        </w:rPr>
        <w:t xml:space="preserve"> regarding the MiLoG </w:t>
      </w:r>
    </w:p>
    <w:p w14:paraId="727C124F" w14:textId="78C27E1B" w:rsidR="00A577C0" w:rsidRPr="00535EC0" w:rsidRDefault="00A577C0" w:rsidP="00A52FD2">
      <w:pPr>
        <w:pStyle w:val="Listenabsatz"/>
        <w:numPr>
          <w:ilvl w:val="0"/>
          <w:numId w:val="9"/>
        </w:numPr>
        <w:spacing w:after="240"/>
        <w:ind w:left="284" w:hanging="284"/>
        <w:jc w:val="both"/>
        <w:rPr>
          <w:rFonts w:cs="Arial"/>
          <w:b/>
        </w:rPr>
      </w:pPr>
      <w:r w:rsidRPr="00535EC0">
        <w:rPr>
          <w:rFonts w:cs="Arial"/>
          <w:b/>
        </w:rPr>
        <w:t xml:space="preserve">Form for Professional Liability Insurance </w:t>
      </w:r>
      <w:r w:rsidR="00535EC0" w:rsidRPr="00535EC0">
        <w:rPr>
          <w:rFonts w:cs="Arial"/>
          <w:b/>
        </w:rPr>
        <w:t xml:space="preserve">with a minimum coverage amount: </w:t>
      </w:r>
      <w:r w:rsidR="003829F9">
        <w:rPr>
          <w:rFonts w:cs="Arial"/>
          <w:b/>
        </w:rPr>
        <w:t>twice</w:t>
      </w:r>
      <w:r w:rsidR="00535EC0" w:rsidRPr="00535EC0">
        <w:rPr>
          <w:rFonts w:cs="Arial"/>
          <w:b/>
        </w:rPr>
        <w:t xml:space="preserve"> the contract value</w:t>
      </w:r>
    </w:p>
    <w:p w14:paraId="1CD75A89" w14:textId="77777777" w:rsidR="00271855" w:rsidRPr="00535EC0" w:rsidRDefault="00271855" w:rsidP="00A52FD2">
      <w:pPr>
        <w:pStyle w:val="Listenabsatz"/>
        <w:numPr>
          <w:ilvl w:val="0"/>
          <w:numId w:val="9"/>
        </w:numPr>
        <w:spacing w:after="240"/>
        <w:ind w:left="284" w:hanging="284"/>
        <w:jc w:val="both"/>
        <w:rPr>
          <w:rFonts w:cs="Arial"/>
          <w:b/>
        </w:rPr>
      </w:pPr>
      <w:r w:rsidRPr="00535EC0">
        <w:rPr>
          <w:rFonts w:cs="Arial"/>
          <w:b/>
        </w:rPr>
        <w:t>Form regarding compliance with standards in accordance with ISO 9001 (or an equivalent standard)</w:t>
      </w:r>
    </w:p>
    <w:p w14:paraId="0CB8FABC" w14:textId="77777777" w:rsidR="00161C5B" w:rsidRPr="00535EC0" w:rsidRDefault="00161C5B" w:rsidP="00A52FD2">
      <w:pPr>
        <w:pStyle w:val="Listenabsatz"/>
        <w:numPr>
          <w:ilvl w:val="0"/>
          <w:numId w:val="9"/>
        </w:numPr>
        <w:spacing w:after="240"/>
        <w:ind w:left="284" w:hanging="284"/>
        <w:jc w:val="both"/>
        <w:rPr>
          <w:rFonts w:cs="Arial"/>
          <w:b/>
        </w:rPr>
      </w:pPr>
      <w:r w:rsidRPr="00535EC0">
        <w:rPr>
          <w:rFonts w:cs="Arial"/>
          <w:b/>
        </w:rPr>
        <w:t>Form for Additional Information on the Bidder</w:t>
      </w:r>
    </w:p>
    <w:p w14:paraId="2F77C448" w14:textId="77777777" w:rsidR="00CE5BF7" w:rsidRPr="00535EC0" w:rsidRDefault="00CE5BF7" w:rsidP="00A52FD2">
      <w:pPr>
        <w:pStyle w:val="Listenabsatz"/>
        <w:numPr>
          <w:ilvl w:val="0"/>
          <w:numId w:val="9"/>
        </w:numPr>
        <w:spacing w:after="240"/>
        <w:ind w:left="284" w:hanging="284"/>
        <w:jc w:val="both"/>
        <w:rPr>
          <w:rFonts w:cs="Arial"/>
          <w:b/>
        </w:rPr>
      </w:pPr>
      <w:r w:rsidRPr="00535EC0">
        <w:rPr>
          <w:rFonts w:cs="Arial"/>
          <w:b/>
        </w:rPr>
        <w:t xml:space="preserve">If applicable, form for a bid consortium </w:t>
      </w:r>
    </w:p>
    <w:p w14:paraId="20B1CAA9" w14:textId="77777777" w:rsidR="00A577C0" w:rsidRPr="00535EC0" w:rsidRDefault="00A577C0" w:rsidP="00A52FD2">
      <w:pPr>
        <w:pStyle w:val="Listenabsatz"/>
        <w:numPr>
          <w:ilvl w:val="0"/>
          <w:numId w:val="9"/>
        </w:numPr>
        <w:spacing w:after="240"/>
        <w:ind w:left="284" w:hanging="284"/>
        <w:jc w:val="both"/>
        <w:rPr>
          <w:rFonts w:cs="Arial"/>
          <w:b/>
        </w:rPr>
      </w:pPr>
      <w:r w:rsidRPr="00535EC0">
        <w:rPr>
          <w:rFonts w:cs="Arial"/>
          <w:b/>
        </w:rPr>
        <w:t xml:space="preserve">If applicable, subcontractor form; in the case of a loan of personnel, this must be submitted together with the completed and subcontractor-signed declaration of availability </w:t>
      </w:r>
    </w:p>
    <w:p w14:paraId="5FB87A54" w14:textId="77777777" w:rsidR="00DB6A1A" w:rsidRPr="00535EC0" w:rsidRDefault="00DB6A1A" w:rsidP="00A52FD2">
      <w:pPr>
        <w:pStyle w:val="Listenabsatz"/>
        <w:numPr>
          <w:ilvl w:val="0"/>
          <w:numId w:val="9"/>
        </w:numPr>
        <w:spacing w:after="240"/>
        <w:ind w:left="284" w:hanging="284"/>
        <w:jc w:val="both"/>
        <w:rPr>
          <w:rFonts w:cs="Arial"/>
          <w:b/>
        </w:rPr>
      </w:pPr>
      <w:r w:rsidRPr="00535EC0">
        <w:rPr>
          <w:rFonts w:cs="Arial"/>
          <w:b/>
        </w:rPr>
        <w:t>Form: Declaration regarding Regulation (EU) No. 833/2014</w:t>
      </w:r>
    </w:p>
    <w:p w14:paraId="7DE2A1B2" w14:textId="77777777" w:rsidR="00535EC0" w:rsidRDefault="00A577C0" w:rsidP="00A52FD2">
      <w:pPr>
        <w:pStyle w:val="Listenabsatz"/>
        <w:numPr>
          <w:ilvl w:val="0"/>
          <w:numId w:val="9"/>
        </w:numPr>
        <w:spacing w:after="240"/>
        <w:ind w:left="284" w:hanging="284"/>
        <w:jc w:val="both"/>
        <w:rPr>
          <w:rFonts w:cs="Arial"/>
          <w:b/>
        </w:rPr>
      </w:pPr>
      <w:r w:rsidRPr="00535EC0">
        <w:rPr>
          <w:rFonts w:cs="Arial"/>
          <w:b/>
        </w:rPr>
        <w:t>Cost Breakdown</w:t>
      </w:r>
    </w:p>
    <w:p w14:paraId="33BDB4A8" w14:textId="4C98622C" w:rsidR="00BD79A3" w:rsidRPr="00535EC0" w:rsidRDefault="00BD79A3" w:rsidP="00A52FD2">
      <w:pPr>
        <w:pStyle w:val="Listenabsatz"/>
        <w:numPr>
          <w:ilvl w:val="0"/>
          <w:numId w:val="9"/>
        </w:numPr>
        <w:spacing w:after="240"/>
        <w:ind w:left="284" w:hanging="284"/>
        <w:jc w:val="both"/>
        <w:rPr>
          <w:rFonts w:cs="Arial"/>
          <w:b/>
        </w:rPr>
      </w:pPr>
      <w:r w:rsidRPr="00535EC0">
        <w:rPr>
          <w:b/>
        </w:rPr>
        <w:t>Data Protection</w:t>
      </w:r>
      <w:r w:rsidR="00535EC0">
        <w:rPr>
          <w:rFonts w:cs="Arial"/>
          <w:b/>
        </w:rPr>
        <w:t xml:space="preserve"> Form</w:t>
      </w:r>
    </w:p>
    <w:p w14:paraId="16604B0F" w14:textId="77777777" w:rsidR="00535EC0" w:rsidRDefault="00535EC0" w:rsidP="00A52FD2">
      <w:pPr>
        <w:pStyle w:val="Listenabsatz"/>
        <w:spacing w:after="240"/>
        <w:contextualSpacing w:val="0"/>
        <w:jc w:val="both"/>
        <w:rPr>
          <w:rFonts w:cs="Arial"/>
        </w:rPr>
      </w:pPr>
    </w:p>
    <w:p w14:paraId="4ADB7174" w14:textId="0CFB0E4D" w:rsidR="00A577C0" w:rsidRPr="003B4071" w:rsidRDefault="00A577C0" w:rsidP="00A52FD2">
      <w:pPr>
        <w:pStyle w:val="Listenabsatz"/>
        <w:spacing w:after="240"/>
        <w:contextualSpacing w:val="0"/>
        <w:jc w:val="both"/>
        <w:rPr>
          <w:rFonts w:cs="Arial"/>
        </w:rPr>
      </w:pPr>
      <w:r w:rsidRPr="003B4071">
        <w:rPr>
          <w:rFonts w:cs="Arial"/>
        </w:rPr>
        <w:t xml:space="preserve">If the bidder submits the </w:t>
      </w:r>
      <w:r w:rsidRPr="003B4071">
        <w:rPr>
          <w:rFonts w:cs="Arial"/>
          <w:b/>
        </w:rPr>
        <w:t>Standard European Self-Declaration (EEE) pursuant to Section 50 of the Public Procurement Regulation (VgV)</w:t>
      </w:r>
      <w:r w:rsidRPr="003B4071">
        <w:rPr>
          <w:rFonts w:cs="Arial"/>
        </w:rPr>
        <w:t>, only the following forms from those listed above need to be attached initially:</w:t>
      </w:r>
    </w:p>
    <w:p w14:paraId="5F9C5C89" w14:textId="77777777" w:rsidR="00A577C0" w:rsidRPr="003B4071" w:rsidRDefault="00A577C0" w:rsidP="00A52FD2">
      <w:pPr>
        <w:pStyle w:val="Listenabsatz"/>
        <w:numPr>
          <w:ilvl w:val="0"/>
          <w:numId w:val="9"/>
        </w:numPr>
        <w:spacing w:after="240"/>
        <w:ind w:left="284" w:hanging="284"/>
        <w:jc w:val="both"/>
        <w:rPr>
          <w:rFonts w:cs="Arial"/>
        </w:rPr>
      </w:pPr>
      <w:r w:rsidRPr="003B4071">
        <w:rPr>
          <w:rFonts w:cs="Arial"/>
        </w:rPr>
        <w:t>Company Profile Form (completed, due to the additional data requested)</w:t>
      </w:r>
    </w:p>
    <w:p w14:paraId="0C96D51B" w14:textId="77777777" w:rsidR="00A577C0" w:rsidRPr="003B4071" w:rsidRDefault="00A577C0" w:rsidP="00A52FD2">
      <w:pPr>
        <w:pStyle w:val="Listenabsatz"/>
        <w:numPr>
          <w:ilvl w:val="0"/>
          <w:numId w:val="9"/>
        </w:numPr>
        <w:spacing w:after="240"/>
        <w:ind w:left="284" w:hanging="284"/>
        <w:jc w:val="both"/>
        <w:rPr>
          <w:rFonts w:cs="Arial"/>
        </w:rPr>
      </w:pPr>
      <w:r w:rsidRPr="003B4071">
        <w:rPr>
          <w:rFonts w:cs="Arial"/>
        </w:rPr>
        <w:lastRenderedPageBreak/>
        <w:t>Form on Violations of the Black Labor Act (SchwarzArbG), the Posting of Workers Act (AEntG), the Residence Act (AufenthG), and the Minimum Wage Act (MiLoG)</w:t>
      </w:r>
    </w:p>
    <w:p w14:paraId="117A1E6A" w14:textId="77777777" w:rsidR="00A577C0" w:rsidRPr="003B4071" w:rsidRDefault="00A577C0" w:rsidP="00A52FD2">
      <w:pPr>
        <w:pStyle w:val="Listenabsatz"/>
        <w:numPr>
          <w:ilvl w:val="0"/>
          <w:numId w:val="9"/>
        </w:numPr>
        <w:spacing w:after="240"/>
        <w:ind w:left="284" w:hanging="284"/>
        <w:contextualSpacing w:val="0"/>
        <w:jc w:val="both"/>
        <w:rPr>
          <w:rFonts w:cs="Arial"/>
        </w:rPr>
      </w:pPr>
      <w:r w:rsidRPr="003B4071">
        <w:rPr>
          <w:rFonts w:cs="Arial"/>
        </w:rPr>
        <w:t>Professional Liability Insurance Form</w:t>
      </w:r>
    </w:p>
    <w:p w14:paraId="14ED856D" w14:textId="77777777" w:rsidR="00A577C0" w:rsidRPr="003B4071" w:rsidRDefault="00F40256" w:rsidP="00A52FD2">
      <w:pPr>
        <w:pStyle w:val="Listenabsatz"/>
        <w:spacing w:after="240"/>
        <w:contextualSpacing w:val="0"/>
        <w:jc w:val="both"/>
        <w:rPr>
          <w:rFonts w:cs="Arial"/>
        </w:rPr>
      </w:pPr>
      <w:r w:rsidRPr="003B4071">
        <w:rPr>
          <w:rFonts w:cs="Arial"/>
        </w:rPr>
        <w:t>In addition</w:t>
      </w:r>
      <w:r w:rsidR="00A577C0" w:rsidRPr="003B4071">
        <w:rPr>
          <w:rFonts w:cs="Arial"/>
        </w:rPr>
        <w:t>,</w:t>
      </w:r>
      <w:r w:rsidRPr="003B4071">
        <w:rPr>
          <w:rFonts w:cs="Arial"/>
        </w:rPr>
        <w:t xml:space="preserve"> </w:t>
      </w:r>
      <w:r w:rsidR="00406275" w:rsidRPr="003B4071">
        <w:rPr>
          <w:rFonts w:cs="Arial"/>
        </w:rPr>
        <w:t>GSI</w:t>
      </w:r>
      <w:r w:rsidRPr="003B4071">
        <w:rPr>
          <w:rFonts w:cs="Arial"/>
        </w:rPr>
        <w:t xml:space="preserve"> </w:t>
      </w:r>
      <w:r w:rsidR="00A577C0" w:rsidRPr="003B4071">
        <w:rPr>
          <w:rFonts w:cs="Arial"/>
        </w:rPr>
        <w:t>notes that in this case, each member of the bidding consortium and each subcontractor must complete an EEE.</w:t>
      </w:r>
    </w:p>
    <w:p w14:paraId="772473EC" w14:textId="77777777" w:rsidR="00A577C0" w:rsidRPr="00535EC0" w:rsidRDefault="00A577C0" w:rsidP="00A52FD2">
      <w:pPr>
        <w:pStyle w:val="Listenabsatz"/>
        <w:spacing w:after="240"/>
        <w:contextualSpacing w:val="0"/>
        <w:jc w:val="both"/>
        <w:rPr>
          <w:rFonts w:cs="Arial"/>
          <w:b/>
        </w:rPr>
      </w:pPr>
      <w:r w:rsidRPr="00535EC0">
        <w:rPr>
          <w:rFonts w:cs="Arial"/>
          <w:b/>
        </w:rPr>
        <w:t>The bidder must prepare the following documents and submit them to the contracting authority as part of the bid:</w:t>
      </w:r>
    </w:p>
    <w:p w14:paraId="67F10125" w14:textId="77777777" w:rsidR="00A577C0" w:rsidRPr="00535EC0" w:rsidRDefault="004D1B2F" w:rsidP="00A52FD2">
      <w:pPr>
        <w:pStyle w:val="Listenabsatz"/>
        <w:numPr>
          <w:ilvl w:val="0"/>
          <w:numId w:val="9"/>
        </w:numPr>
        <w:spacing w:after="240"/>
        <w:ind w:left="284" w:hanging="284"/>
        <w:jc w:val="both"/>
        <w:rPr>
          <w:rFonts w:cs="Arial"/>
          <w:b/>
        </w:rPr>
      </w:pPr>
      <w:r w:rsidRPr="00535EC0">
        <w:rPr>
          <w:rFonts w:cs="Arial"/>
          <w:b/>
        </w:rPr>
        <w:t>Explanatory notes on the bid (see Section</w:t>
      </w:r>
      <w:r w:rsidR="0093052E" w:rsidRPr="00535EC0">
        <w:rPr>
          <w:rFonts w:cs="Arial"/>
          <w:b/>
        </w:rPr>
        <w:t xml:space="preserve"> 8 </w:t>
      </w:r>
      <w:r w:rsidRPr="00535EC0">
        <w:rPr>
          <w:rFonts w:cs="Arial"/>
          <w:b/>
        </w:rPr>
        <w:t>below</w:t>
      </w:r>
      <w:r w:rsidR="00A577C0" w:rsidRPr="00535EC0">
        <w:rPr>
          <w:rFonts w:cs="Arial"/>
          <w:b/>
        </w:rPr>
        <w:t>)</w:t>
      </w:r>
    </w:p>
    <w:p w14:paraId="23C5CBCC" w14:textId="22C11FF8" w:rsidR="00A577C0" w:rsidRPr="00535EC0" w:rsidRDefault="00535EC0" w:rsidP="00A52FD2">
      <w:pPr>
        <w:pStyle w:val="Listenabsatz"/>
        <w:numPr>
          <w:ilvl w:val="0"/>
          <w:numId w:val="9"/>
        </w:numPr>
        <w:spacing w:after="240"/>
        <w:ind w:left="284" w:hanging="284"/>
        <w:jc w:val="both"/>
        <w:rPr>
          <w:rFonts w:cs="Arial"/>
          <w:b/>
        </w:rPr>
      </w:pPr>
      <w:r w:rsidRPr="00535EC0">
        <w:rPr>
          <w:rFonts w:cs="Arial"/>
          <w:b/>
        </w:rPr>
        <w:t>Proposals in accordance with the evaluation criteria</w:t>
      </w:r>
    </w:p>
    <w:p w14:paraId="76282567" w14:textId="77777777" w:rsidR="00A577C0" w:rsidRPr="00535EC0" w:rsidRDefault="00A577C0" w:rsidP="00A52FD2">
      <w:pPr>
        <w:pStyle w:val="Listenabsatz"/>
        <w:numPr>
          <w:ilvl w:val="0"/>
          <w:numId w:val="9"/>
        </w:numPr>
        <w:spacing w:after="240"/>
        <w:ind w:left="284" w:hanging="284"/>
        <w:jc w:val="both"/>
        <w:rPr>
          <w:rFonts w:cs="Arial"/>
          <w:b/>
        </w:rPr>
      </w:pPr>
      <w:r w:rsidRPr="00535EC0">
        <w:rPr>
          <w:rFonts w:cs="Arial"/>
          <w:b/>
        </w:rPr>
        <w:t>If applicable, a statement that customs tariff numbers do not yet exist</w:t>
      </w:r>
    </w:p>
    <w:p w14:paraId="437708B3" w14:textId="77777777" w:rsidR="00A577C0" w:rsidRPr="003B4071" w:rsidRDefault="00A577C0" w:rsidP="00A52FD2">
      <w:pPr>
        <w:spacing w:line="276" w:lineRule="auto"/>
        <w:jc w:val="both"/>
        <w:rPr>
          <w:rFonts w:ascii="Calibri" w:hAnsi="Calibri" w:cs="Arial"/>
          <w:bCs/>
          <w:sz w:val="22"/>
        </w:rPr>
      </w:pPr>
      <w:r w:rsidRPr="003B4071">
        <w:rPr>
          <w:rFonts w:ascii="Calibri" w:hAnsi="Calibri" w:cs="Arial"/>
          <w:bCs/>
          <w:sz w:val="22"/>
        </w:rPr>
        <w:t xml:space="preserve">The bidder must separately list all relevant </w:t>
      </w:r>
      <w:r w:rsidRPr="003B4071">
        <w:rPr>
          <w:rFonts w:ascii="Calibri" w:hAnsi="Calibri" w:cs="Arial"/>
          <w:b/>
          <w:bCs/>
          <w:sz w:val="22"/>
        </w:rPr>
        <w:t xml:space="preserve">customs tariff codes </w:t>
      </w:r>
      <w:r w:rsidRPr="003B4071">
        <w:rPr>
          <w:rFonts w:ascii="Calibri" w:hAnsi="Calibri" w:cs="Arial"/>
          <w:bCs/>
          <w:sz w:val="22"/>
        </w:rPr>
        <w:t>for the services included in the bid. If these are not yet available, the bidder must instead notify the contracting authority of this in the bid. The contracting authority reserves the right to request the customs tariff codes once. However, the bidder has no right to this. The bidder may be excluded from the procedure if existing customs tariff numbers are not specified.</w:t>
      </w:r>
    </w:p>
    <w:p w14:paraId="48958AAD" w14:textId="77777777" w:rsidR="00A577C0" w:rsidRPr="003B4071" w:rsidRDefault="00A577C0" w:rsidP="00A52FD2">
      <w:pPr>
        <w:pStyle w:val="Listenabsatz"/>
        <w:spacing w:after="240"/>
        <w:contextualSpacing w:val="0"/>
        <w:jc w:val="both"/>
        <w:rPr>
          <w:rFonts w:cs="Arial"/>
          <w:b/>
          <w:bCs/>
        </w:rPr>
      </w:pPr>
      <w:r w:rsidRPr="003B4071">
        <w:rPr>
          <w:rFonts w:cs="Arial"/>
          <w:b/>
          <w:bCs/>
        </w:rPr>
        <w:t>Note: Safeguard duties on steel products</w:t>
      </w:r>
    </w:p>
    <w:p w14:paraId="2BF5EBE9" w14:textId="77777777" w:rsidR="00A577C0" w:rsidRPr="003B4071" w:rsidRDefault="00A577C0" w:rsidP="00A52FD2">
      <w:pPr>
        <w:pStyle w:val="Listenabsatz"/>
        <w:spacing w:after="240"/>
        <w:contextualSpacing w:val="0"/>
        <w:jc w:val="both"/>
        <w:rPr>
          <w:rFonts w:cs="Arial"/>
          <w:bCs/>
        </w:rPr>
      </w:pPr>
      <w:r w:rsidRPr="003B4071">
        <w:rPr>
          <w:rFonts w:cs="Arial"/>
          <w:bCs/>
        </w:rPr>
        <w:t>With reference to Commission Implementing Regulation (EU) 2018/1013 of July 17,</w:t>
      </w:r>
      <w:r w:rsidRPr="003B4071">
        <w:t xml:space="preserve"> 2018, imposing provisional safeguard measures concerning the importation of certain steel products, and Commission Implementing </w:t>
      </w:r>
      <w:r w:rsidRPr="003B4071">
        <w:rPr>
          <w:rFonts w:cs="Arial"/>
          <w:bCs/>
        </w:rPr>
        <w:t xml:space="preserve">Regulation </w:t>
      </w:r>
      <w:r w:rsidRPr="003B4071">
        <w:t>(</w:t>
      </w:r>
      <w:r w:rsidRPr="003B4071">
        <w:rPr>
          <w:rFonts w:cs="Arial"/>
          <w:bCs/>
        </w:rPr>
        <w:t>EU)</w:t>
      </w:r>
      <w:r w:rsidRPr="003B4071">
        <w:t xml:space="preserve"> 2019/159 of January 31, 2019, imposing definitive safeguard measures against imports of certain steel products, in particular the recitals set forth therein, the contracting authority notes the following:</w:t>
      </w:r>
    </w:p>
    <w:p w14:paraId="1468140D" w14:textId="77777777" w:rsidR="00A577C0" w:rsidRPr="003B4071" w:rsidRDefault="00A577C0" w:rsidP="00A52FD2">
      <w:pPr>
        <w:spacing w:line="276" w:lineRule="auto"/>
        <w:jc w:val="both"/>
        <w:rPr>
          <w:rFonts w:ascii="Calibri" w:hAnsi="Calibri"/>
          <w:sz w:val="22"/>
        </w:rPr>
      </w:pPr>
      <w:r w:rsidRPr="003B4071">
        <w:rPr>
          <w:rFonts w:ascii="Calibri" w:hAnsi="Calibri"/>
          <w:sz w:val="22"/>
        </w:rPr>
        <w:t>Bidders shall inform the contracting authority, as part of the bid submission, that both or even just one of the regulations would apply in the event that the bid is awarded. The possibility of an exempt quota is irrelevant. Should a bidder fail to do so contrary to the obligation set forth herein, the bidder may be excluded from the proceedings. Should the contracting authority become aware after the award that such a breach of obligation has occurred, it is entitled, at its sole discretion and without notice , to withdraw from the contract without thereby giving rise to any liability claims against the contractor.</w:t>
      </w:r>
    </w:p>
    <w:p w14:paraId="77D5F85B" w14:textId="1A04BA20" w:rsidR="00A577C0" w:rsidRPr="003B4071" w:rsidRDefault="00A577C0" w:rsidP="00A52FD2">
      <w:pPr>
        <w:spacing w:line="276" w:lineRule="auto"/>
        <w:jc w:val="both"/>
        <w:rPr>
          <w:rFonts w:ascii="Calibri" w:hAnsi="Calibri"/>
          <w:sz w:val="22"/>
        </w:rPr>
      </w:pPr>
      <w:r w:rsidRPr="003B4071">
        <w:rPr>
          <w:rFonts w:ascii="Calibri" w:hAnsi="Calibri"/>
          <w:sz w:val="22"/>
        </w:rPr>
        <w:lastRenderedPageBreak/>
        <w:t xml:space="preserve">The affected bidders are permitted to demonstrate, </w:t>
      </w:r>
      <w:r w:rsidR="00286669" w:rsidRPr="003B4071">
        <w:rPr>
          <w:rFonts w:ascii="Calibri" w:hAnsi="Calibri"/>
          <w:sz w:val="22"/>
        </w:rPr>
        <w:t xml:space="preserve">by submitting a certificate of origin </w:t>
      </w:r>
      <w:r w:rsidRPr="003B4071">
        <w:rPr>
          <w:rFonts w:ascii="Calibri" w:hAnsi="Calibri"/>
          <w:sz w:val="22"/>
        </w:rPr>
        <w:t>with their bid, that the protective tariff pursuant to the regulations does not apply.</w:t>
      </w:r>
    </w:p>
    <w:p w14:paraId="66A5BFC1" w14:textId="77777777" w:rsidR="00A577C0" w:rsidRPr="003B4071" w:rsidRDefault="00A577C0" w:rsidP="00A52FD2">
      <w:pPr>
        <w:pStyle w:val="Listenabsatz"/>
        <w:spacing w:after="240"/>
        <w:contextualSpacing w:val="0"/>
        <w:jc w:val="both"/>
        <w:rPr>
          <w:rFonts w:cs="Arial"/>
          <w:b/>
        </w:rPr>
      </w:pPr>
      <w:r w:rsidRPr="003B4071">
        <w:rPr>
          <w:rFonts w:cs="Arial"/>
          <w:b/>
        </w:rPr>
        <w:t xml:space="preserve">The forms provided with the bidding documents must be completed in full, depending on the bid. Failure to submit or the incomplete submission of the required documents, as well as knowingly false statements, may </w:t>
      </w:r>
      <w:r w:rsidR="00F40256" w:rsidRPr="003B4071">
        <w:rPr>
          <w:rFonts w:cs="Arial"/>
          <w:b/>
        </w:rPr>
        <w:t xml:space="preserve">result </w:t>
      </w:r>
      <w:r w:rsidRPr="003B4071">
        <w:rPr>
          <w:rFonts w:cs="Arial"/>
          <w:b/>
        </w:rPr>
        <w:t xml:space="preserve">in the bidder’s exclusion </w:t>
      </w:r>
      <w:r w:rsidR="00F40256" w:rsidRPr="003B4071">
        <w:rPr>
          <w:rFonts w:cs="Arial"/>
          <w:b/>
        </w:rPr>
        <w:t xml:space="preserve">from the procurement process. </w:t>
      </w:r>
      <w:r w:rsidR="00406275" w:rsidRPr="003B4071">
        <w:rPr>
          <w:rFonts w:cs="Arial"/>
          <w:b/>
        </w:rPr>
        <w:t xml:space="preserve">GSI </w:t>
      </w:r>
      <w:r w:rsidRPr="003B4071">
        <w:rPr>
          <w:rFonts w:cs="Arial"/>
          <w:b/>
        </w:rPr>
        <w:t>reserves the right to request additional documents once within a deadline to be specified in the request letter in accordance with § 56 VgV. However, bidders may not rely on such a request for additional documents. Bids that are ultimately incomplete will be excluded (§ 57(1)(2) VgV).</w:t>
      </w:r>
    </w:p>
    <w:p w14:paraId="7FBA4353" w14:textId="77777777" w:rsidR="00A577C0" w:rsidRPr="003B4071" w:rsidRDefault="00A577C0" w:rsidP="00A52FD2">
      <w:pPr>
        <w:pStyle w:val="Listenabsatz"/>
        <w:spacing w:after="240"/>
        <w:contextualSpacing w:val="0"/>
        <w:jc w:val="both"/>
        <w:rPr>
          <w:rFonts w:cs="Arial"/>
        </w:rPr>
      </w:pPr>
      <w:r w:rsidRPr="003B4071">
        <w:rPr>
          <w:rFonts w:cs="Arial"/>
        </w:rPr>
        <w:t xml:space="preserve">Bidders may not base their bids on their own contractual terms and conditions. Changes to the procurement documents (such as deletions or additions in the provided documents in places not designated for such changes) are not permitted and will result in exclusion from the remainder of the process, § 57(1)(4) VgV. </w:t>
      </w:r>
    </w:p>
    <w:p w14:paraId="7EDEAF7A" w14:textId="77777777" w:rsidR="00A577C0" w:rsidRPr="003B4071" w:rsidRDefault="00A577C0" w:rsidP="00A52FD2">
      <w:pPr>
        <w:pStyle w:val="Listenabsatz"/>
        <w:keepNext/>
        <w:numPr>
          <w:ilvl w:val="0"/>
          <w:numId w:val="30"/>
        </w:numPr>
        <w:spacing w:after="240"/>
        <w:ind w:left="0" w:firstLine="0"/>
        <w:contextualSpacing w:val="0"/>
        <w:jc w:val="both"/>
        <w:rPr>
          <w:rFonts w:cs="Arial"/>
          <w:b/>
          <w:bCs/>
        </w:rPr>
      </w:pPr>
      <w:r w:rsidRPr="003B4071">
        <w:rPr>
          <w:rFonts w:cs="Arial"/>
          <w:b/>
          <w:bCs/>
        </w:rPr>
        <w:t>Deadline for Submission of Bids</w:t>
      </w:r>
    </w:p>
    <w:p w14:paraId="3FFEDF92" w14:textId="77777777" w:rsidR="00A577C0" w:rsidRPr="003B4071" w:rsidRDefault="00A577C0" w:rsidP="00A52FD2">
      <w:pPr>
        <w:spacing w:line="276" w:lineRule="auto"/>
        <w:jc w:val="both"/>
        <w:rPr>
          <w:rFonts w:ascii="Calibri" w:hAnsi="Calibri" w:cs="Arial"/>
          <w:bCs/>
          <w:sz w:val="22"/>
        </w:rPr>
      </w:pPr>
      <w:r w:rsidRPr="003B4071">
        <w:rPr>
          <w:rFonts w:ascii="Calibri" w:hAnsi="Calibri" w:cs="Arial"/>
          <w:bCs/>
          <w:sz w:val="22"/>
        </w:rPr>
        <w:t>The deadline for submitting bids specified in the notice must be strictly observed. Bids received late will be excluded from the process (</w:t>
      </w:r>
      <w:bookmarkStart w:id="1" w:name="_Hlk501721907"/>
      <w:r w:rsidRPr="003B4071">
        <w:rPr>
          <w:rFonts w:ascii="Calibri" w:hAnsi="Calibri" w:cs="Arial"/>
          <w:bCs/>
          <w:sz w:val="22"/>
        </w:rPr>
        <w:t xml:space="preserve"> ) unless the bidder is not at fault (Section 57(1)(1) VgV).</w:t>
      </w:r>
      <w:bookmarkEnd w:id="1"/>
    </w:p>
    <w:p w14:paraId="2FD3C55F" w14:textId="77777777" w:rsidR="00A52FD2" w:rsidRPr="003B4071" w:rsidRDefault="00A577C0" w:rsidP="00A52FD2">
      <w:pPr>
        <w:pStyle w:val="Listenabsatz"/>
        <w:keepNext/>
        <w:numPr>
          <w:ilvl w:val="0"/>
          <w:numId w:val="30"/>
        </w:numPr>
        <w:spacing w:after="240"/>
        <w:ind w:left="0" w:firstLine="0"/>
        <w:contextualSpacing w:val="0"/>
        <w:jc w:val="both"/>
        <w:rPr>
          <w:rFonts w:cs="Calibri"/>
          <w:b/>
          <w:bCs/>
        </w:rPr>
      </w:pPr>
      <w:r w:rsidRPr="003B4071">
        <w:rPr>
          <w:rFonts w:cs="Calibri"/>
          <w:b/>
          <w:bCs/>
        </w:rPr>
        <w:t>Requirements Regarding the Form of Bids</w:t>
      </w:r>
    </w:p>
    <w:p w14:paraId="6A47A57A" w14:textId="77777777" w:rsidR="00A52FD2" w:rsidRPr="003B4071" w:rsidRDefault="00A577C0" w:rsidP="00A52FD2">
      <w:pPr>
        <w:spacing w:line="276" w:lineRule="auto"/>
        <w:jc w:val="both"/>
        <w:rPr>
          <w:rFonts w:ascii="Calibri" w:hAnsi="Calibri" w:cs="Calibri"/>
          <w:bCs/>
          <w:sz w:val="22"/>
        </w:rPr>
      </w:pPr>
      <w:r w:rsidRPr="003B4071">
        <w:rPr>
          <w:rFonts w:ascii="Calibri" w:hAnsi="Calibri" w:cs="Calibri"/>
          <w:bCs/>
          <w:sz w:val="22"/>
        </w:rPr>
        <w:t>The contracting authority accepts bids submitted exclusively electronically in text form</w:t>
      </w:r>
      <w:r w:rsidR="00346DF4" w:rsidRPr="003B4071">
        <w:rPr>
          <w:rFonts w:ascii="Calibri" w:hAnsi="Calibri" w:cs="Calibri"/>
          <w:bCs/>
          <w:sz w:val="22"/>
        </w:rPr>
        <w:t>.</w:t>
      </w:r>
    </w:p>
    <w:p w14:paraId="59A41C99" w14:textId="77777777" w:rsidR="00A52FD2" w:rsidRPr="003B4071" w:rsidRDefault="00A577C0" w:rsidP="00A52FD2">
      <w:pPr>
        <w:spacing w:line="276" w:lineRule="auto"/>
        <w:jc w:val="both"/>
        <w:rPr>
          <w:rFonts w:ascii="Calibri" w:hAnsi="Calibri" w:cs="Calibri"/>
          <w:b/>
          <w:bCs/>
          <w:sz w:val="22"/>
        </w:rPr>
      </w:pPr>
      <w:r w:rsidRPr="003B4071">
        <w:rPr>
          <w:rFonts w:ascii="Calibri" w:hAnsi="Calibri" w:cs="Calibri"/>
          <w:b/>
          <w:bCs/>
          <w:sz w:val="22"/>
        </w:rPr>
        <w:t>Note – Electronically in text form</w:t>
      </w:r>
    </w:p>
    <w:p w14:paraId="07EA0D46" w14:textId="77777777" w:rsidR="00A577C0" w:rsidRPr="003B4071" w:rsidRDefault="00A577C0" w:rsidP="00A52FD2">
      <w:pPr>
        <w:spacing w:line="276" w:lineRule="auto"/>
        <w:jc w:val="both"/>
        <w:rPr>
          <w:rFonts w:ascii="Calibri" w:hAnsi="Calibri" w:cs="Calibri"/>
          <w:b/>
          <w:bCs/>
          <w:sz w:val="22"/>
        </w:rPr>
      </w:pPr>
      <w:r w:rsidRPr="003B4071">
        <w:rPr>
          <w:rFonts w:ascii="Calibri" w:hAnsi="Calibri" w:cs="Calibri"/>
          <w:b/>
          <w:bCs/>
          <w:sz w:val="22"/>
        </w:rPr>
        <w:t>Bids must be submitted electronically in text form via the DTVP (German Procurement Portal) by the deadline.</w:t>
      </w:r>
    </w:p>
    <w:p w14:paraId="390BFB4A" w14:textId="77777777" w:rsidR="00A577C0" w:rsidRPr="003B4071" w:rsidRDefault="00A577C0" w:rsidP="00A52FD2">
      <w:pPr>
        <w:pStyle w:val="Listenabsatz"/>
        <w:spacing w:after="240"/>
        <w:ind w:left="1418"/>
        <w:contextualSpacing w:val="0"/>
        <w:jc w:val="both"/>
        <w:rPr>
          <w:rFonts w:cs="Calibri"/>
          <w:bCs/>
          <w:u w:val="single"/>
          <w:lang w:val="en-US"/>
        </w:rPr>
      </w:pPr>
      <w:r w:rsidRPr="003B4071">
        <w:rPr>
          <w:rFonts w:cs="Calibri"/>
          <w:bCs/>
          <w:u w:val="single"/>
          <w:lang w:val="en-US"/>
        </w:rPr>
        <w:t>URL: http://www.dtvp.de/Center/</w:t>
      </w:r>
    </w:p>
    <w:p w14:paraId="1BB41CF4" w14:textId="77777777" w:rsidR="00A577C0" w:rsidRPr="003B4071" w:rsidRDefault="00F40256" w:rsidP="00A52FD2">
      <w:pPr>
        <w:pStyle w:val="Listenabsatz"/>
        <w:spacing w:after="240"/>
        <w:contextualSpacing w:val="0"/>
        <w:jc w:val="both"/>
        <w:rPr>
          <w:rFonts w:cs="Calibri"/>
          <w:bCs/>
        </w:rPr>
      </w:pPr>
      <w:r w:rsidRPr="003B4071">
        <w:rPr>
          <w:rFonts w:cs="Calibri"/>
          <w:bCs/>
        </w:rPr>
        <w:t xml:space="preserve">The </w:t>
      </w:r>
      <w:r w:rsidR="00A577C0" w:rsidRPr="003B4071">
        <w:rPr>
          <w:rFonts w:cs="Calibri"/>
          <w:bCs/>
        </w:rPr>
        <w:t xml:space="preserve">forms and other documents provided </w:t>
      </w:r>
      <w:r w:rsidRPr="003B4071">
        <w:rPr>
          <w:rFonts w:cs="Calibri"/>
          <w:bCs/>
        </w:rPr>
        <w:t xml:space="preserve">by </w:t>
      </w:r>
      <w:r w:rsidR="00406275" w:rsidRPr="003B4071">
        <w:rPr>
          <w:rFonts w:cs="Calibri"/>
          <w:bCs/>
        </w:rPr>
        <w:t xml:space="preserve">GSI that </w:t>
      </w:r>
      <w:r w:rsidR="00A577C0" w:rsidRPr="003B4071">
        <w:rPr>
          <w:rFonts w:cs="Calibri"/>
          <w:bCs/>
        </w:rPr>
        <w:t>need to be completed can</w:t>
      </w:r>
    </w:p>
    <w:p w14:paraId="67C772A9" w14:textId="77777777" w:rsidR="00A577C0" w:rsidRPr="003B4071" w:rsidRDefault="00A577C0" w:rsidP="00A52FD2">
      <w:pPr>
        <w:pStyle w:val="Listenabsatz"/>
        <w:numPr>
          <w:ilvl w:val="0"/>
          <w:numId w:val="31"/>
        </w:numPr>
        <w:spacing w:after="240"/>
        <w:ind w:left="357" w:hanging="357"/>
        <w:jc w:val="both"/>
        <w:rPr>
          <w:rFonts w:cs="Calibri"/>
          <w:bCs/>
        </w:rPr>
      </w:pPr>
      <w:r w:rsidRPr="003B4071">
        <w:rPr>
          <w:rFonts w:cs="Calibri"/>
          <w:bCs/>
        </w:rPr>
        <w:t>either be filled out online in the “Documents to Be Completed” section of the bidder tool or</w:t>
      </w:r>
    </w:p>
    <w:p w14:paraId="6986BC2C" w14:textId="77777777" w:rsidR="00A577C0" w:rsidRPr="003B4071" w:rsidRDefault="00A577C0" w:rsidP="00A52FD2">
      <w:pPr>
        <w:pStyle w:val="Listenabsatz"/>
        <w:numPr>
          <w:ilvl w:val="0"/>
          <w:numId w:val="31"/>
        </w:numPr>
        <w:spacing w:after="240"/>
        <w:ind w:left="357" w:hanging="357"/>
        <w:contextualSpacing w:val="0"/>
        <w:jc w:val="both"/>
        <w:rPr>
          <w:rFonts w:cs="Calibri"/>
          <w:bCs/>
        </w:rPr>
      </w:pPr>
      <w:r w:rsidRPr="003B4071">
        <w:rPr>
          <w:rFonts w:cs="Calibri"/>
          <w:bCs/>
        </w:rPr>
        <w:t xml:space="preserve">filled out or created locally along with the other components of the application for participation or bid (concepts or explanations, etc.) that the bidder must </w:t>
      </w:r>
      <w:r w:rsidRPr="003B4071">
        <w:rPr>
          <w:rFonts w:cs="Calibri"/>
          <w:bCs/>
        </w:rPr>
        <w:lastRenderedPageBreak/>
        <w:t>prepare separately, and then uploaded in their entirety under the “My Documents” section.</w:t>
      </w:r>
    </w:p>
    <w:p w14:paraId="70EDCAB5" w14:textId="77777777" w:rsidR="00A577C0" w:rsidRPr="003B4071" w:rsidRDefault="00A577C0" w:rsidP="00A52FD2">
      <w:pPr>
        <w:pStyle w:val="Listenabsatz"/>
        <w:spacing w:after="240"/>
        <w:contextualSpacing w:val="0"/>
        <w:jc w:val="both"/>
        <w:rPr>
          <w:rFonts w:cs="Calibri"/>
          <w:bCs/>
        </w:rPr>
      </w:pPr>
      <w:r w:rsidRPr="003B4071">
        <w:rPr>
          <w:rFonts w:cs="Calibri"/>
          <w:bCs/>
        </w:rPr>
        <w:t>However, bidders should not fill out the forms online and then upload them separately, as this can lead to data entry errors and increase the workload for both parties.</w:t>
      </w:r>
    </w:p>
    <w:p w14:paraId="6D868314" w14:textId="77777777" w:rsidR="00A577C0" w:rsidRPr="003B4071" w:rsidRDefault="00A577C0" w:rsidP="00A52FD2">
      <w:pPr>
        <w:pStyle w:val="Listenabsatz"/>
        <w:spacing w:after="240"/>
        <w:contextualSpacing w:val="0"/>
        <w:jc w:val="both"/>
        <w:rPr>
          <w:rFonts w:cs="Calibri"/>
          <w:bCs/>
        </w:rPr>
      </w:pPr>
      <w:r w:rsidRPr="003B4071">
        <w:rPr>
          <w:rFonts w:cs="Calibri"/>
          <w:bCs/>
        </w:rPr>
        <w:t xml:space="preserve">To comply with the written form requirement under Section 126b of the German Civil Code (BGB) when submitting bids, bidders must provide the </w:t>
      </w:r>
      <w:r w:rsidRPr="003B4071">
        <w:rPr>
          <w:rFonts w:cs="Calibri"/>
        </w:rPr>
        <w:t xml:space="preserve">following </w:t>
      </w:r>
      <w:r w:rsidRPr="003B4071">
        <w:rPr>
          <w:rFonts w:cs="Calibri"/>
          <w:bCs/>
        </w:rPr>
        <w:t>information:</w:t>
      </w:r>
    </w:p>
    <w:p w14:paraId="5C5F83E2" w14:textId="77777777" w:rsidR="00A577C0" w:rsidRPr="003B4071" w:rsidRDefault="00A577C0" w:rsidP="00A52FD2">
      <w:pPr>
        <w:pStyle w:val="Listenabsatz"/>
        <w:numPr>
          <w:ilvl w:val="0"/>
          <w:numId w:val="25"/>
        </w:numPr>
        <w:spacing w:after="240"/>
        <w:ind w:left="431" w:hanging="357"/>
        <w:jc w:val="both"/>
        <w:rPr>
          <w:rFonts w:cs="Arial"/>
          <w:bCs/>
        </w:rPr>
      </w:pPr>
      <w:r w:rsidRPr="003B4071">
        <w:rPr>
          <w:rFonts w:cs="Arial"/>
          <w:bCs/>
        </w:rPr>
        <w:t>For natural persons, the full name (first and last name) must be provided (name of the person submitting the bid on the bid form).</w:t>
      </w:r>
    </w:p>
    <w:p w14:paraId="57536B6A" w14:textId="77777777" w:rsidR="00A577C0" w:rsidRPr="003B4071" w:rsidRDefault="00A577C0" w:rsidP="00A52FD2">
      <w:pPr>
        <w:pStyle w:val="Listenabsatz"/>
        <w:numPr>
          <w:ilvl w:val="0"/>
          <w:numId w:val="25"/>
        </w:numPr>
        <w:spacing w:after="240"/>
        <w:ind w:left="431" w:hanging="357"/>
        <w:jc w:val="both"/>
        <w:rPr>
          <w:rFonts w:cs="Arial"/>
          <w:bCs/>
        </w:rPr>
      </w:pPr>
      <w:r w:rsidRPr="003B4071">
        <w:rPr>
          <w:rFonts w:cs="Arial"/>
          <w:bCs/>
        </w:rPr>
        <w:t>For legal entities, commercial partnerships, and corporations, the company name and legal form must be provided. In addition, the full name of the employee submitting the bid on behalf of the company must be provided (name of the person making the declaration on the bid form). Simply including a company logo is not sufficient.</w:t>
      </w:r>
    </w:p>
    <w:p w14:paraId="364C9414" w14:textId="77777777" w:rsidR="00A577C0" w:rsidRPr="003B4071" w:rsidRDefault="00A577C0" w:rsidP="00A52FD2">
      <w:pPr>
        <w:pStyle w:val="Listenabsatz"/>
        <w:numPr>
          <w:ilvl w:val="0"/>
          <w:numId w:val="25"/>
        </w:numPr>
        <w:spacing w:after="240"/>
        <w:ind w:left="431" w:hanging="357"/>
        <w:contextualSpacing w:val="0"/>
        <w:jc w:val="both"/>
        <w:rPr>
          <w:rFonts w:cs="Arial"/>
          <w:bCs/>
        </w:rPr>
      </w:pPr>
      <w:r w:rsidRPr="003B4071">
        <w:rPr>
          <w:rFonts w:cs="Arial"/>
          <w:bCs/>
        </w:rPr>
        <w:t>For bid consortia, the employee of the lead member who is submitting the bid on behalf of the consortium must be named as the person making the declaration in the bid form pursuant to Section 126b of the German Civil Code (BGB); in addition, the “Bid Consortium Declaration” form must be submitted.</w:t>
      </w:r>
    </w:p>
    <w:p w14:paraId="32D9A38D" w14:textId="77777777" w:rsidR="00A577C0" w:rsidRPr="003B4071" w:rsidRDefault="00A577C0" w:rsidP="00A52FD2">
      <w:pPr>
        <w:pStyle w:val="Listenabsatz"/>
        <w:spacing w:after="240"/>
        <w:contextualSpacing w:val="0"/>
        <w:jc w:val="both"/>
        <w:rPr>
          <w:rFonts w:cs="Arial"/>
        </w:rPr>
      </w:pPr>
      <w:r w:rsidRPr="003B4071">
        <w:rPr>
          <w:rFonts w:cs="Arial"/>
        </w:rPr>
        <w:t xml:space="preserve">Please note that, in the case of electronic submission, the written form requirement of § 126b BGB under public procurement law is only met if the bids are transmitted in encrypted form via the procurement platform (see the information on e-procurement). </w:t>
      </w:r>
      <w:r w:rsidRPr="003B4071">
        <w:rPr>
          <w:rFonts w:cs="Arial"/>
          <w:b/>
        </w:rPr>
        <w:t>Submitting the bid via email is not sufficient</w:t>
      </w:r>
      <w:r w:rsidRPr="003B4071">
        <w:rPr>
          <w:rFonts w:cs="Arial"/>
        </w:rPr>
        <w:t xml:space="preserve">. </w:t>
      </w:r>
    </w:p>
    <w:p w14:paraId="62641B5B" w14:textId="77777777" w:rsidR="00A577C0" w:rsidRPr="003B4071" w:rsidRDefault="00A577C0" w:rsidP="00A52FD2">
      <w:pPr>
        <w:pStyle w:val="Listenabsatz"/>
        <w:spacing w:after="240"/>
        <w:contextualSpacing w:val="0"/>
        <w:jc w:val="both"/>
        <w:rPr>
          <w:rFonts w:cs="Arial"/>
        </w:rPr>
      </w:pPr>
      <w:r w:rsidRPr="003B4071">
        <w:rPr>
          <w:rFonts w:cs="Arial"/>
        </w:rPr>
        <w:t xml:space="preserve">In the event of incorrect or incomplete information that violates the above-mentioned formal requirements, the bids will be excluded </w:t>
      </w:r>
      <w:r w:rsidRPr="003B4071">
        <w:rPr>
          <w:rFonts w:cs="Arial"/>
          <w:bCs/>
        </w:rPr>
        <w:t>unless the bidder is not at fault (§ 57(1)(1) VgV)</w:t>
      </w:r>
      <w:r w:rsidRPr="003B4071">
        <w:rPr>
          <w:rFonts w:cs="Arial"/>
        </w:rPr>
        <w:t xml:space="preserve">. </w:t>
      </w:r>
    </w:p>
    <w:p w14:paraId="357A68AC" w14:textId="77777777" w:rsidR="00DB0B5F" w:rsidRPr="003B4071" w:rsidRDefault="00A577C0" w:rsidP="00A52FD2">
      <w:pPr>
        <w:pStyle w:val="Listenabsatz"/>
        <w:keepNext/>
        <w:numPr>
          <w:ilvl w:val="0"/>
          <w:numId w:val="30"/>
        </w:numPr>
        <w:spacing w:after="240"/>
        <w:ind w:left="0" w:firstLine="0"/>
        <w:contextualSpacing w:val="0"/>
        <w:jc w:val="both"/>
        <w:rPr>
          <w:rFonts w:cs="Calibri"/>
          <w:b/>
          <w:bCs/>
        </w:rPr>
      </w:pPr>
      <w:r w:rsidRPr="003B4071">
        <w:rPr>
          <w:rFonts w:cs="Calibri"/>
          <w:b/>
          <w:bCs/>
        </w:rPr>
        <w:t>Communication with Bidders</w:t>
      </w:r>
    </w:p>
    <w:p w14:paraId="340E5691" w14:textId="77777777" w:rsidR="00A577C0" w:rsidRPr="003B4071" w:rsidRDefault="00A577C0" w:rsidP="00A52FD2">
      <w:pPr>
        <w:pStyle w:val="Listenabsatz"/>
        <w:spacing w:after="240"/>
        <w:contextualSpacing w:val="0"/>
        <w:jc w:val="both"/>
        <w:rPr>
          <w:rFonts w:cs="Arial"/>
        </w:rPr>
      </w:pPr>
      <w:r w:rsidRPr="003B4071">
        <w:rPr>
          <w:rFonts w:cs="Arial"/>
        </w:rPr>
        <w:t xml:space="preserve">Communication with bidders takes place via the DTVP tendering platform. </w:t>
      </w:r>
      <w:r w:rsidR="00F40256" w:rsidRPr="003B4071">
        <w:rPr>
          <w:rFonts w:cs="Arial"/>
        </w:rPr>
        <w:t xml:space="preserve">Questions must </w:t>
      </w:r>
      <w:r w:rsidRPr="003B4071">
        <w:rPr>
          <w:rFonts w:cs="Arial"/>
        </w:rPr>
        <w:t xml:space="preserve">be submitted </w:t>
      </w:r>
      <w:r w:rsidR="00F40256" w:rsidRPr="003B4071">
        <w:rPr>
          <w:rFonts w:cs="Arial"/>
        </w:rPr>
        <w:t xml:space="preserve">to </w:t>
      </w:r>
      <w:r w:rsidR="00406275" w:rsidRPr="003B4071">
        <w:rPr>
          <w:rFonts w:cs="Arial"/>
        </w:rPr>
        <w:t>GSI</w:t>
      </w:r>
      <w:r w:rsidR="00F40256" w:rsidRPr="003B4071">
        <w:rPr>
          <w:rFonts w:cs="Arial"/>
        </w:rPr>
        <w:t xml:space="preserve"> via the DTVP </w:t>
      </w:r>
      <w:r w:rsidRPr="003B4071">
        <w:rPr>
          <w:rFonts w:cs="Arial"/>
        </w:rPr>
        <w:t>and will be answered via the DTVP. Questions regarding the documents or the subject matter of the contract that are asked verbally or by telephone will not be answered; answers provided verbally or by telephone are not binding.</w:t>
      </w:r>
    </w:p>
    <w:p w14:paraId="251BC87A" w14:textId="77777777" w:rsidR="00DB0B5F" w:rsidRPr="003B4071" w:rsidRDefault="00A577C0" w:rsidP="007B3FB7">
      <w:pPr>
        <w:pStyle w:val="Listenabsatz"/>
        <w:keepNext/>
        <w:numPr>
          <w:ilvl w:val="0"/>
          <w:numId w:val="30"/>
        </w:numPr>
        <w:spacing w:after="240"/>
        <w:ind w:left="0" w:firstLine="0"/>
        <w:contextualSpacing w:val="0"/>
        <w:jc w:val="both"/>
        <w:rPr>
          <w:rFonts w:cs="Calibri"/>
          <w:b/>
          <w:bCs/>
        </w:rPr>
      </w:pPr>
      <w:r w:rsidRPr="003B4071">
        <w:rPr>
          <w:rFonts w:cs="Calibri"/>
          <w:b/>
          <w:bCs/>
        </w:rPr>
        <w:lastRenderedPageBreak/>
        <w:t>Languages</w:t>
      </w:r>
    </w:p>
    <w:p w14:paraId="35E6B4F5" w14:textId="77777777" w:rsidR="00A577C0" w:rsidRPr="003B4071" w:rsidRDefault="00A577C0" w:rsidP="007B3FB7">
      <w:pPr>
        <w:pStyle w:val="Listenabsatz"/>
        <w:spacing w:after="240"/>
        <w:contextualSpacing w:val="0"/>
        <w:jc w:val="both"/>
        <w:rPr>
          <w:rFonts w:cs="Arial"/>
        </w:rPr>
      </w:pPr>
      <w:r w:rsidRPr="003B4071">
        <w:rPr>
          <w:rFonts w:cs="Arial"/>
        </w:rPr>
        <w:t>The language of the procedure and the contract is German. The tender documents may be written partly in German and partly in English; specifications and technical annexes may also be available only in English in some cases. For documents written in both German and English, only the German version is binding; in this case, the English version is provided solely to aid foreign bidders in understanding the content. In the event of discrepancies between the German version and the English translation, the original German text shall prevail.</w:t>
      </w:r>
    </w:p>
    <w:p w14:paraId="6EB8DD2A" w14:textId="77777777" w:rsidR="00A577C0" w:rsidRPr="003B4071" w:rsidRDefault="00A577C0" w:rsidP="007B3FB7">
      <w:pPr>
        <w:pStyle w:val="Listenabsatz"/>
        <w:spacing w:after="240"/>
        <w:contextualSpacing w:val="0"/>
        <w:jc w:val="both"/>
        <w:rPr>
          <w:rFonts w:cs="Arial"/>
        </w:rPr>
      </w:pPr>
      <w:r w:rsidRPr="003B4071">
        <w:rPr>
          <w:rFonts w:cs="Arial"/>
        </w:rPr>
        <w:t>If the bidder includes proof of eligibility in a language other than German with the bid, German translations must also be submitted.</w:t>
      </w:r>
    </w:p>
    <w:p w14:paraId="45097D02" w14:textId="77777777" w:rsidR="00A577C0" w:rsidRPr="003B4071" w:rsidRDefault="00A577C0" w:rsidP="007B3FB7">
      <w:pPr>
        <w:pStyle w:val="Listenabsatz"/>
        <w:keepNext/>
        <w:numPr>
          <w:ilvl w:val="0"/>
          <w:numId w:val="30"/>
        </w:numPr>
        <w:spacing w:after="240"/>
        <w:ind w:left="0" w:firstLine="0"/>
        <w:contextualSpacing w:val="0"/>
        <w:jc w:val="both"/>
        <w:rPr>
          <w:rFonts w:cs="Calibri"/>
          <w:b/>
          <w:bCs/>
        </w:rPr>
      </w:pPr>
      <w:r w:rsidRPr="003B4071">
        <w:rPr>
          <w:rFonts w:cs="Calibri"/>
          <w:b/>
          <w:bCs/>
        </w:rPr>
        <w:t>Award Criteria / Bid Evaluation</w:t>
      </w:r>
    </w:p>
    <w:p w14:paraId="180D8D2C" w14:textId="77777777" w:rsidR="00A577C0" w:rsidRPr="003B4071" w:rsidRDefault="00A577C0" w:rsidP="007B3FB7">
      <w:pPr>
        <w:pStyle w:val="Listenabsatz"/>
        <w:spacing w:after="240"/>
        <w:contextualSpacing w:val="0"/>
        <w:jc w:val="both"/>
        <w:rPr>
          <w:rFonts w:cs="Arial"/>
          <w:bCs/>
        </w:rPr>
      </w:pPr>
      <w:r w:rsidRPr="003B4071">
        <w:rPr>
          <w:rFonts w:cs="Arial"/>
          <w:bCs/>
        </w:rPr>
        <w:t>The contract will be awarded to the most economically advantageous bid. Bids admitted for evaluation will be assessed based on the award criteria with the specified weightings.</w:t>
      </w:r>
    </w:p>
    <w:p w14:paraId="5AED837C" w14:textId="77777777" w:rsidR="00A577C0" w:rsidRPr="003B4071" w:rsidRDefault="00406275" w:rsidP="007B3FB7">
      <w:pPr>
        <w:pStyle w:val="Listenabsatz"/>
        <w:spacing w:after="240"/>
        <w:contextualSpacing w:val="0"/>
        <w:jc w:val="both"/>
        <w:rPr>
          <w:rFonts w:cs="Arial"/>
          <w:bCs/>
        </w:rPr>
      </w:pPr>
      <w:r w:rsidRPr="003B4071">
        <w:rPr>
          <w:rFonts w:cs="Arial"/>
          <w:bCs/>
        </w:rPr>
        <w:t xml:space="preserve">GSI </w:t>
      </w:r>
      <w:r w:rsidR="00A577C0" w:rsidRPr="003B4071">
        <w:rPr>
          <w:rFonts w:cs="Arial"/>
          <w:bCs/>
        </w:rPr>
        <w:t>reserves the right to invite the three highest-ranked bidders to a presentation, which may be used to review and clarify the information and documents provided. No negotiations will take place.</w:t>
      </w:r>
    </w:p>
    <w:p w14:paraId="64DA1638" w14:textId="77777777" w:rsidR="00A577C0" w:rsidRPr="003B4071" w:rsidRDefault="00A577C0" w:rsidP="007B3FB7">
      <w:pPr>
        <w:pStyle w:val="Listenabsatz"/>
        <w:spacing w:after="240"/>
        <w:contextualSpacing w:val="0"/>
        <w:jc w:val="both"/>
        <w:rPr>
          <w:rFonts w:cs="Arial"/>
          <w:bCs/>
        </w:rPr>
      </w:pPr>
      <w:r w:rsidRPr="003B4071">
        <w:rPr>
          <w:rFonts w:cs="Arial"/>
          <w:bCs/>
        </w:rPr>
        <w:t>In accordance with the general principles of equal treatment and transparency, the contracting authority has established the following award criteria:</w:t>
      </w:r>
    </w:p>
    <w:tbl>
      <w:tblPr>
        <w:tblW w:w="7667" w:type="dxa"/>
        <w:tblInd w:w="108" w:type="dxa"/>
        <w:tblLayout w:type="fixed"/>
        <w:tblLook w:val="0000" w:firstRow="0" w:lastRow="0" w:firstColumn="0" w:lastColumn="0" w:noHBand="0" w:noVBand="0"/>
      </w:tblPr>
      <w:tblGrid>
        <w:gridCol w:w="2864"/>
        <w:gridCol w:w="1701"/>
        <w:gridCol w:w="3102"/>
      </w:tblGrid>
      <w:tr w:rsidR="003B4071" w:rsidRPr="00286669" w14:paraId="4988D876" w14:textId="77777777" w:rsidTr="00925707">
        <w:trPr>
          <w:cantSplit/>
          <w:trHeight w:val="599"/>
          <w:tblHeader/>
        </w:trPr>
        <w:tc>
          <w:tcPr>
            <w:tcW w:w="2864" w:type="dxa"/>
            <w:tcBorders>
              <w:top w:val="single" w:sz="4" w:space="0" w:color="000000"/>
              <w:left w:val="single" w:sz="4" w:space="0" w:color="000000"/>
              <w:bottom w:val="single" w:sz="4" w:space="0" w:color="000000"/>
            </w:tcBorders>
            <w:vAlign w:val="center"/>
          </w:tcPr>
          <w:p w14:paraId="1D934AF2" w14:textId="77777777" w:rsidR="00B04B1C" w:rsidRPr="00286669" w:rsidRDefault="00B04B1C" w:rsidP="00925707">
            <w:pPr>
              <w:widowControl w:val="0"/>
              <w:spacing w:after="0" w:line="240" w:lineRule="auto"/>
              <w:ind w:right="142"/>
              <w:jc w:val="center"/>
              <w:rPr>
                <w:rFonts w:ascii="Calibri" w:hAnsi="Calibri" w:cstheme="majorHAnsi"/>
                <w:b/>
                <w:szCs w:val="20"/>
              </w:rPr>
            </w:pPr>
            <w:r w:rsidRPr="00286669">
              <w:rPr>
                <w:rFonts w:ascii="Calibri" w:hAnsi="Calibri" w:cstheme="majorHAnsi"/>
                <w:b/>
                <w:szCs w:val="20"/>
              </w:rPr>
              <w:t>Award Criteria</w:t>
            </w:r>
          </w:p>
        </w:tc>
        <w:tc>
          <w:tcPr>
            <w:tcW w:w="1701" w:type="dxa"/>
            <w:tcBorders>
              <w:top w:val="single" w:sz="4" w:space="0" w:color="000000"/>
              <w:left w:val="single" w:sz="4" w:space="0" w:color="000000"/>
              <w:bottom w:val="single" w:sz="4" w:space="0" w:color="000000"/>
              <w:right w:val="single" w:sz="4" w:space="0" w:color="auto"/>
            </w:tcBorders>
            <w:vAlign w:val="center"/>
          </w:tcPr>
          <w:p w14:paraId="36AEEF45" w14:textId="77777777" w:rsidR="00B04B1C" w:rsidRPr="00286669" w:rsidRDefault="00B04B1C" w:rsidP="00925707">
            <w:pPr>
              <w:widowControl w:val="0"/>
              <w:spacing w:after="0" w:line="240" w:lineRule="auto"/>
              <w:ind w:right="142"/>
              <w:jc w:val="center"/>
              <w:rPr>
                <w:rFonts w:ascii="Calibri" w:hAnsi="Calibri" w:cstheme="majorHAnsi"/>
                <w:b/>
                <w:szCs w:val="20"/>
              </w:rPr>
            </w:pPr>
            <w:r w:rsidRPr="00286669">
              <w:rPr>
                <w:rFonts w:ascii="Calibri" w:hAnsi="Calibri" w:cstheme="majorHAnsi"/>
                <w:b/>
                <w:szCs w:val="20"/>
              </w:rPr>
              <w:t>Weighting</w:t>
            </w:r>
          </w:p>
        </w:tc>
        <w:tc>
          <w:tcPr>
            <w:tcW w:w="3102" w:type="dxa"/>
            <w:tcBorders>
              <w:top w:val="single" w:sz="4" w:space="0" w:color="auto"/>
              <w:left w:val="single" w:sz="4" w:space="0" w:color="auto"/>
              <w:bottom w:val="single" w:sz="4" w:space="0" w:color="auto"/>
              <w:right w:val="single" w:sz="4" w:space="0" w:color="auto"/>
            </w:tcBorders>
            <w:vAlign w:val="center"/>
          </w:tcPr>
          <w:p w14:paraId="701DFD3C" w14:textId="77777777" w:rsidR="00B04B1C" w:rsidRPr="00286669" w:rsidRDefault="00B04B1C" w:rsidP="00925707">
            <w:pPr>
              <w:widowControl w:val="0"/>
              <w:spacing w:after="0" w:line="240" w:lineRule="auto"/>
              <w:ind w:right="142"/>
              <w:jc w:val="center"/>
              <w:rPr>
                <w:rFonts w:ascii="Calibri" w:hAnsi="Calibri" w:cstheme="majorHAnsi"/>
                <w:b/>
                <w:szCs w:val="20"/>
              </w:rPr>
            </w:pPr>
            <w:r w:rsidRPr="00286669">
              <w:rPr>
                <w:rFonts w:ascii="Calibri" w:hAnsi="Calibri" w:cstheme="majorHAnsi"/>
                <w:b/>
                <w:szCs w:val="20"/>
              </w:rPr>
              <w:t>Points</w:t>
            </w:r>
          </w:p>
        </w:tc>
      </w:tr>
      <w:tr w:rsidR="003B4071" w:rsidRPr="00286669" w14:paraId="1B730065" w14:textId="77777777" w:rsidTr="00925707">
        <w:trPr>
          <w:trHeight w:val="144"/>
        </w:trPr>
        <w:tc>
          <w:tcPr>
            <w:tcW w:w="2864" w:type="dxa"/>
            <w:tcBorders>
              <w:left w:val="single" w:sz="4" w:space="0" w:color="000000"/>
              <w:bottom w:val="single" w:sz="4" w:space="0" w:color="000000"/>
            </w:tcBorders>
          </w:tcPr>
          <w:p w14:paraId="21E515D7" w14:textId="77777777" w:rsidR="00B04B1C" w:rsidRPr="00286669" w:rsidRDefault="00B04B1C" w:rsidP="00925707">
            <w:pPr>
              <w:widowControl w:val="0"/>
              <w:spacing w:after="0" w:line="240" w:lineRule="auto"/>
              <w:ind w:right="141"/>
              <w:jc w:val="both"/>
              <w:rPr>
                <w:rFonts w:ascii="Calibri" w:hAnsi="Calibri" w:cstheme="majorHAnsi"/>
                <w:bCs/>
                <w:szCs w:val="20"/>
              </w:rPr>
            </w:pPr>
            <w:r w:rsidRPr="00286669">
              <w:rPr>
                <w:rFonts w:ascii="Calibri" w:hAnsi="Calibri" w:cstheme="majorHAnsi"/>
                <w:szCs w:val="20"/>
              </w:rPr>
              <w:t xml:space="preserve">Total Bid Price </w:t>
            </w:r>
          </w:p>
        </w:tc>
        <w:tc>
          <w:tcPr>
            <w:tcW w:w="1701" w:type="dxa"/>
            <w:tcBorders>
              <w:left w:val="single" w:sz="4" w:space="0" w:color="000000"/>
              <w:bottom w:val="single" w:sz="4" w:space="0" w:color="000000"/>
              <w:right w:val="single" w:sz="4" w:space="0" w:color="auto"/>
            </w:tcBorders>
            <w:vAlign w:val="center"/>
          </w:tcPr>
          <w:p w14:paraId="6C838CF4" w14:textId="6ED84A13" w:rsidR="00B04B1C" w:rsidRPr="00286669" w:rsidRDefault="00286669" w:rsidP="00286669">
            <w:pPr>
              <w:widowControl w:val="0"/>
              <w:spacing w:after="0" w:line="240" w:lineRule="auto"/>
              <w:ind w:right="441"/>
              <w:jc w:val="center"/>
              <w:rPr>
                <w:rFonts w:ascii="Calibri" w:hAnsi="Calibri" w:cstheme="majorHAnsi"/>
                <w:szCs w:val="20"/>
              </w:rPr>
            </w:pPr>
            <w:r w:rsidRPr="00286669">
              <w:rPr>
                <w:rFonts w:ascii="Calibri" w:hAnsi="Calibri" w:cstheme="majorHAnsi"/>
                <w:szCs w:val="20"/>
              </w:rPr>
              <w:t xml:space="preserve">      </w:t>
            </w:r>
            <w:r w:rsidR="00B04B1C" w:rsidRPr="00286669">
              <w:rPr>
                <w:rFonts w:ascii="Calibri" w:hAnsi="Calibri" w:cstheme="majorHAnsi"/>
                <w:szCs w:val="20"/>
              </w:rPr>
              <w:t>30%</w:t>
            </w:r>
          </w:p>
        </w:tc>
        <w:tc>
          <w:tcPr>
            <w:tcW w:w="3102" w:type="dxa"/>
            <w:tcBorders>
              <w:top w:val="single" w:sz="4" w:space="0" w:color="auto"/>
              <w:left w:val="single" w:sz="4" w:space="0" w:color="auto"/>
              <w:bottom w:val="single" w:sz="4" w:space="0" w:color="auto"/>
              <w:right w:val="single" w:sz="4" w:space="0" w:color="auto"/>
            </w:tcBorders>
            <w:vAlign w:val="center"/>
          </w:tcPr>
          <w:p w14:paraId="0DC36128" w14:textId="77777777" w:rsidR="00B04B1C" w:rsidRPr="00286669" w:rsidRDefault="00B04B1C" w:rsidP="00925707">
            <w:pPr>
              <w:widowControl w:val="0"/>
              <w:spacing w:after="0" w:line="240" w:lineRule="auto"/>
              <w:ind w:right="141"/>
              <w:jc w:val="right"/>
              <w:rPr>
                <w:rFonts w:ascii="Calibri" w:hAnsi="Calibri" w:cstheme="majorHAnsi"/>
                <w:szCs w:val="20"/>
              </w:rPr>
            </w:pPr>
            <w:r w:rsidRPr="00286669">
              <w:rPr>
                <w:rFonts w:ascii="Calibri" w:hAnsi="Calibri" w:cstheme="majorHAnsi"/>
                <w:szCs w:val="20"/>
              </w:rPr>
              <w:t>Evaluation method, see below</w:t>
            </w:r>
          </w:p>
        </w:tc>
      </w:tr>
      <w:tr w:rsidR="00B04B1C" w:rsidRPr="00286669" w14:paraId="5A566AF0" w14:textId="77777777" w:rsidTr="00925707">
        <w:trPr>
          <w:trHeight w:val="107"/>
        </w:trPr>
        <w:tc>
          <w:tcPr>
            <w:tcW w:w="2864" w:type="dxa"/>
            <w:tcBorders>
              <w:left w:val="single" w:sz="4" w:space="0" w:color="000000"/>
              <w:bottom w:val="single" w:sz="4" w:space="0" w:color="000000"/>
            </w:tcBorders>
          </w:tcPr>
          <w:p w14:paraId="25E2D366" w14:textId="77777777" w:rsidR="00B04B1C" w:rsidRPr="00286669" w:rsidRDefault="00B04B1C" w:rsidP="00925707">
            <w:pPr>
              <w:widowControl w:val="0"/>
              <w:spacing w:after="0" w:line="240" w:lineRule="auto"/>
              <w:ind w:right="142"/>
              <w:jc w:val="both"/>
              <w:rPr>
                <w:rFonts w:ascii="Calibri" w:hAnsi="Calibri" w:cstheme="majorHAnsi"/>
                <w:szCs w:val="20"/>
              </w:rPr>
            </w:pPr>
            <w:r w:rsidRPr="00286669">
              <w:rPr>
                <w:rFonts w:ascii="Calibri" w:hAnsi="Calibri" w:cstheme="majorHAnsi"/>
                <w:szCs w:val="20"/>
              </w:rPr>
              <w:t>Performance Criteria (PC)</w:t>
            </w:r>
          </w:p>
        </w:tc>
        <w:tc>
          <w:tcPr>
            <w:tcW w:w="1701" w:type="dxa"/>
            <w:tcBorders>
              <w:left w:val="single" w:sz="4" w:space="0" w:color="000000"/>
              <w:bottom w:val="single" w:sz="4" w:space="0" w:color="000000"/>
              <w:right w:val="single" w:sz="4" w:space="0" w:color="auto"/>
            </w:tcBorders>
            <w:vAlign w:val="center"/>
          </w:tcPr>
          <w:p w14:paraId="09D4A615" w14:textId="77777777" w:rsidR="00B04B1C" w:rsidRPr="00286669" w:rsidRDefault="00B04B1C" w:rsidP="00286669">
            <w:pPr>
              <w:widowControl w:val="0"/>
              <w:spacing w:after="0" w:line="240" w:lineRule="auto"/>
              <w:ind w:right="141"/>
              <w:jc w:val="center"/>
              <w:rPr>
                <w:rFonts w:ascii="Calibri" w:hAnsi="Calibri" w:cstheme="majorHAnsi"/>
                <w:szCs w:val="20"/>
              </w:rPr>
            </w:pPr>
            <w:r w:rsidRPr="00286669">
              <w:rPr>
                <w:rFonts w:ascii="Calibri" w:hAnsi="Calibri" w:cstheme="majorHAnsi"/>
                <w:szCs w:val="20"/>
              </w:rPr>
              <w:t>70%</w:t>
            </w:r>
          </w:p>
        </w:tc>
        <w:tc>
          <w:tcPr>
            <w:tcW w:w="3102" w:type="dxa"/>
            <w:tcBorders>
              <w:top w:val="single" w:sz="4" w:space="0" w:color="auto"/>
              <w:left w:val="single" w:sz="4" w:space="0" w:color="auto"/>
              <w:bottom w:val="single" w:sz="4" w:space="0" w:color="auto"/>
              <w:right w:val="single" w:sz="4" w:space="0" w:color="auto"/>
            </w:tcBorders>
            <w:vAlign w:val="center"/>
          </w:tcPr>
          <w:p w14:paraId="3DF425AE" w14:textId="77777777" w:rsidR="00B04B1C" w:rsidRPr="00286669" w:rsidRDefault="00B04B1C" w:rsidP="00925707">
            <w:pPr>
              <w:widowControl w:val="0"/>
              <w:spacing w:after="0" w:line="240" w:lineRule="auto"/>
              <w:ind w:right="141"/>
              <w:jc w:val="right"/>
              <w:rPr>
                <w:rFonts w:ascii="Calibri" w:hAnsi="Calibri" w:cstheme="majorHAnsi"/>
                <w:szCs w:val="20"/>
              </w:rPr>
            </w:pPr>
            <w:r w:rsidRPr="00286669">
              <w:rPr>
                <w:rFonts w:ascii="Calibri" w:hAnsi="Calibri" w:cstheme="majorHAnsi"/>
                <w:szCs w:val="20"/>
              </w:rPr>
              <w:t>Scoring method, see below</w:t>
            </w:r>
          </w:p>
        </w:tc>
      </w:tr>
    </w:tbl>
    <w:p w14:paraId="40515427" w14:textId="77777777" w:rsidR="00B04B1C" w:rsidRPr="003B4071" w:rsidRDefault="00B04B1C" w:rsidP="00346DF4">
      <w:pPr>
        <w:pStyle w:val="Listenabsatz"/>
        <w:jc w:val="both"/>
        <w:rPr>
          <w:rFonts w:cs="Arial"/>
          <w:bCs/>
        </w:rPr>
      </w:pPr>
    </w:p>
    <w:tbl>
      <w:tblPr>
        <w:tblW w:w="7825" w:type="dxa"/>
        <w:tblInd w:w="108" w:type="dxa"/>
        <w:tblLayout w:type="fixed"/>
        <w:tblLook w:val="0000" w:firstRow="0" w:lastRow="0" w:firstColumn="0" w:lastColumn="0" w:noHBand="0" w:noVBand="0"/>
      </w:tblPr>
      <w:tblGrid>
        <w:gridCol w:w="3289"/>
        <w:gridCol w:w="1560"/>
        <w:gridCol w:w="1134"/>
        <w:gridCol w:w="1842"/>
      </w:tblGrid>
      <w:tr w:rsidR="003B4071" w:rsidRPr="00286669" w14:paraId="29BF322A" w14:textId="77777777" w:rsidTr="00286669">
        <w:trPr>
          <w:cantSplit/>
          <w:trHeight w:val="1032"/>
          <w:tblHeader/>
        </w:trPr>
        <w:tc>
          <w:tcPr>
            <w:tcW w:w="3289" w:type="dxa"/>
            <w:tcBorders>
              <w:top w:val="single" w:sz="4" w:space="0" w:color="000000"/>
              <w:left w:val="single" w:sz="4" w:space="0" w:color="000000"/>
              <w:bottom w:val="single" w:sz="4" w:space="0" w:color="000000"/>
            </w:tcBorders>
            <w:vAlign w:val="center"/>
          </w:tcPr>
          <w:p w14:paraId="0B162347" w14:textId="77777777" w:rsidR="003B4071" w:rsidRPr="00286669" w:rsidRDefault="003B4071" w:rsidP="00346DF4">
            <w:pPr>
              <w:widowControl w:val="0"/>
              <w:spacing w:after="0" w:line="240" w:lineRule="auto"/>
              <w:ind w:right="142"/>
              <w:jc w:val="both"/>
              <w:rPr>
                <w:rFonts w:ascii="Calibri" w:hAnsi="Calibri" w:cstheme="majorHAnsi"/>
                <w:b/>
                <w:sz w:val="22"/>
              </w:rPr>
            </w:pPr>
            <w:r w:rsidRPr="00286669">
              <w:rPr>
                <w:rFonts w:ascii="Calibri" w:hAnsi="Calibri" w:cstheme="majorHAnsi"/>
                <w:b/>
                <w:sz w:val="22"/>
              </w:rPr>
              <w:t>Performance criteria in detail</w:t>
            </w:r>
          </w:p>
          <w:p w14:paraId="6B541CBA" w14:textId="77777777" w:rsidR="003B4071" w:rsidRPr="00286669" w:rsidRDefault="003B4071" w:rsidP="00346DF4">
            <w:pPr>
              <w:widowControl w:val="0"/>
              <w:spacing w:after="0" w:line="240" w:lineRule="auto"/>
              <w:ind w:right="142"/>
              <w:jc w:val="both"/>
              <w:rPr>
                <w:rFonts w:ascii="Calibri" w:hAnsi="Calibri" w:cstheme="majorHAnsi"/>
                <w:b/>
                <w:sz w:val="22"/>
              </w:rPr>
            </w:pPr>
            <w:r w:rsidRPr="00286669">
              <w:rPr>
                <w:rFonts w:ascii="Calibri" w:hAnsi="Calibri" w:cstheme="majorHAnsi"/>
                <w:b/>
                <w:sz w:val="22"/>
              </w:rPr>
              <w:t>(100%)</w:t>
            </w:r>
          </w:p>
        </w:tc>
        <w:tc>
          <w:tcPr>
            <w:tcW w:w="1560" w:type="dxa"/>
            <w:tcBorders>
              <w:top w:val="single" w:sz="4" w:space="0" w:color="000000"/>
              <w:left w:val="single" w:sz="4" w:space="0" w:color="000000"/>
              <w:bottom w:val="single" w:sz="4" w:space="0" w:color="000000"/>
            </w:tcBorders>
            <w:vAlign w:val="center"/>
          </w:tcPr>
          <w:p w14:paraId="14DF05C8" w14:textId="77777777" w:rsidR="003B4071" w:rsidRPr="00286669" w:rsidRDefault="003B4071" w:rsidP="00346DF4">
            <w:pPr>
              <w:widowControl w:val="0"/>
              <w:spacing w:after="0" w:line="240" w:lineRule="auto"/>
              <w:ind w:right="142"/>
              <w:jc w:val="both"/>
              <w:rPr>
                <w:rFonts w:ascii="Calibri" w:hAnsi="Calibri" w:cstheme="majorHAnsi"/>
                <w:b/>
                <w:sz w:val="22"/>
              </w:rPr>
            </w:pPr>
            <w:r w:rsidRPr="00286669">
              <w:rPr>
                <w:rFonts w:ascii="Calibri" w:hAnsi="Calibri" w:cstheme="majorHAnsi"/>
                <w:b/>
                <w:sz w:val="22"/>
              </w:rPr>
              <w:t>Weighting</w:t>
            </w:r>
          </w:p>
          <w:p w14:paraId="4AED8706" w14:textId="77777777" w:rsidR="003B4071" w:rsidRPr="00286669" w:rsidRDefault="003B4071" w:rsidP="00346DF4">
            <w:pPr>
              <w:widowControl w:val="0"/>
              <w:spacing w:after="0" w:line="240" w:lineRule="auto"/>
              <w:ind w:right="142"/>
              <w:jc w:val="both"/>
              <w:rPr>
                <w:rFonts w:ascii="Calibri" w:hAnsi="Calibri" w:cstheme="majorHAnsi"/>
                <w:b/>
                <w:sz w:val="22"/>
              </w:rPr>
            </w:pPr>
            <w:r w:rsidRPr="00286669">
              <w:rPr>
                <w:rFonts w:ascii="Calibri" w:hAnsi="Calibri" w:cstheme="majorHAnsi"/>
                <w:b/>
                <w:sz w:val="22"/>
              </w:rPr>
              <w:t>Main criteria</w:t>
            </w:r>
          </w:p>
        </w:tc>
        <w:tc>
          <w:tcPr>
            <w:tcW w:w="1134" w:type="dxa"/>
            <w:tcBorders>
              <w:top w:val="single" w:sz="4" w:space="0" w:color="000000"/>
              <w:left w:val="single" w:sz="4" w:space="0" w:color="000000"/>
              <w:bottom w:val="single" w:sz="4" w:space="0" w:color="000000"/>
            </w:tcBorders>
            <w:vAlign w:val="center"/>
          </w:tcPr>
          <w:p w14:paraId="625A8023" w14:textId="77777777" w:rsidR="003B4071" w:rsidRPr="00286669" w:rsidRDefault="003B4071" w:rsidP="00346DF4">
            <w:pPr>
              <w:widowControl w:val="0"/>
              <w:spacing w:after="0" w:line="240" w:lineRule="auto"/>
              <w:ind w:right="142"/>
              <w:jc w:val="both"/>
              <w:rPr>
                <w:rFonts w:ascii="Calibri" w:hAnsi="Calibri" w:cstheme="majorHAnsi"/>
                <w:b/>
                <w:sz w:val="22"/>
              </w:rPr>
            </w:pPr>
            <w:r w:rsidRPr="00286669">
              <w:rPr>
                <w:rFonts w:ascii="Calibri" w:hAnsi="Calibri" w:cstheme="majorHAnsi"/>
                <w:b/>
                <w:sz w:val="22"/>
              </w:rPr>
              <w:t>Points</w:t>
            </w:r>
          </w:p>
        </w:tc>
        <w:tc>
          <w:tcPr>
            <w:tcW w:w="1842" w:type="dxa"/>
            <w:tcBorders>
              <w:top w:val="single" w:sz="4" w:space="0" w:color="000000"/>
              <w:left w:val="single" w:sz="4" w:space="0" w:color="000000"/>
              <w:bottom w:val="single" w:sz="4" w:space="0" w:color="000000"/>
              <w:right w:val="single" w:sz="4" w:space="0" w:color="000000"/>
            </w:tcBorders>
            <w:vAlign w:val="center"/>
          </w:tcPr>
          <w:p w14:paraId="44F29808" w14:textId="77777777" w:rsidR="003B4071" w:rsidRPr="00286669" w:rsidRDefault="003B4071" w:rsidP="00346DF4">
            <w:pPr>
              <w:widowControl w:val="0"/>
              <w:spacing w:after="0" w:line="240" w:lineRule="auto"/>
              <w:ind w:right="142"/>
              <w:jc w:val="both"/>
              <w:rPr>
                <w:rFonts w:ascii="Calibri" w:hAnsi="Calibri" w:cstheme="majorHAnsi"/>
                <w:b/>
                <w:sz w:val="22"/>
              </w:rPr>
            </w:pPr>
            <w:r w:rsidRPr="00286669">
              <w:rPr>
                <w:rFonts w:ascii="Calibri" w:hAnsi="Calibri" w:cstheme="majorHAnsi"/>
                <w:b/>
                <w:sz w:val="22"/>
              </w:rPr>
              <w:t>Points Earned / Maximum Points</w:t>
            </w:r>
          </w:p>
        </w:tc>
      </w:tr>
      <w:tr w:rsidR="003B4071" w:rsidRPr="003B4071" w14:paraId="038D2B6D" w14:textId="77777777" w:rsidTr="00286669">
        <w:trPr>
          <w:trHeight w:val="467"/>
        </w:trPr>
        <w:tc>
          <w:tcPr>
            <w:tcW w:w="3289" w:type="dxa"/>
            <w:tcBorders>
              <w:top w:val="single" w:sz="4" w:space="0" w:color="000000"/>
              <w:left w:val="single" w:sz="4" w:space="0" w:color="000000"/>
              <w:bottom w:val="single" w:sz="4" w:space="0" w:color="000000"/>
            </w:tcBorders>
            <w:vAlign w:val="center"/>
          </w:tcPr>
          <w:p w14:paraId="0E502451" w14:textId="1D10F2AE" w:rsidR="003B4071" w:rsidRPr="00D24F94" w:rsidRDefault="003D4DF5" w:rsidP="00346DF4">
            <w:pPr>
              <w:widowControl w:val="0"/>
              <w:spacing w:after="0" w:line="240" w:lineRule="auto"/>
              <w:ind w:right="142"/>
              <w:jc w:val="both"/>
              <w:rPr>
                <w:rFonts w:ascii="Calibri" w:hAnsi="Calibri" w:cstheme="majorHAnsi"/>
                <w:sz w:val="22"/>
              </w:rPr>
            </w:pPr>
            <w:r w:rsidRPr="003D4DF5">
              <w:rPr>
                <w:rFonts w:ascii="Calibri" w:hAnsi="Calibri" w:cstheme="majorHAnsi"/>
                <w:sz w:val="22"/>
              </w:rPr>
              <w:t>Concept for ensuring all technical specifications</w:t>
            </w:r>
          </w:p>
        </w:tc>
        <w:tc>
          <w:tcPr>
            <w:tcW w:w="1560" w:type="dxa"/>
            <w:tcBorders>
              <w:top w:val="single" w:sz="4" w:space="0" w:color="000000"/>
              <w:left w:val="single" w:sz="4" w:space="0" w:color="000000"/>
              <w:bottom w:val="single" w:sz="4" w:space="0" w:color="000000"/>
            </w:tcBorders>
            <w:vAlign w:val="center"/>
          </w:tcPr>
          <w:p w14:paraId="338DF5B1" w14:textId="0A957DA7" w:rsidR="003B4071" w:rsidRPr="00D24F94" w:rsidRDefault="003D683F"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25</w:t>
            </w:r>
            <w:r w:rsidR="003B4071" w:rsidRPr="00D24F94">
              <w:rPr>
                <w:rFonts w:ascii="Calibri" w:hAnsi="Calibri" w:cstheme="majorHAnsi"/>
                <w:sz w:val="22"/>
              </w:rPr>
              <w:t>%</w:t>
            </w:r>
          </w:p>
        </w:tc>
        <w:tc>
          <w:tcPr>
            <w:tcW w:w="1134" w:type="dxa"/>
            <w:tcBorders>
              <w:top w:val="single" w:sz="4" w:space="0" w:color="000000"/>
              <w:left w:val="single" w:sz="4" w:space="0" w:color="000000"/>
              <w:bottom w:val="single" w:sz="4" w:space="0" w:color="000000"/>
            </w:tcBorders>
            <w:vAlign w:val="center"/>
          </w:tcPr>
          <w:p w14:paraId="63A31780" w14:textId="60B28B57" w:rsidR="003B4071" w:rsidRPr="00D24F94" w:rsidRDefault="003D683F"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0–10</w:t>
            </w:r>
          </w:p>
        </w:tc>
        <w:tc>
          <w:tcPr>
            <w:tcW w:w="1842" w:type="dxa"/>
            <w:tcBorders>
              <w:top w:val="single" w:sz="4" w:space="0" w:color="000000"/>
              <w:left w:val="single" w:sz="4" w:space="0" w:color="000000"/>
              <w:bottom w:val="single" w:sz="4" w:space="0" w:color="000000"/>
              <w:right w:val="single" w:sz="4" w:space="0" w:color="000000"/>
            </w:tcBorders>
            <w:vAlign w:val="center"/>
          </w:tcPr>
          <w:p w14:paraId="02C96750" w14:textId="6E5EC958" w:rsidR="003B4071" w:rsidRPr="00D24F94" w:rsidRDefault="003D683F"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XX/250</w:t>
            </w:r>
          </w:p>
        </w:tc>
      </w:tr>
      <w:tr w:rsidR="003B4071" w:rsidRPr="003B4071" w14:paraId="7FAD86BF" w14:textId="77777777" w:rsidTr="00286669">
        <w:trPr>
          <w:trHeight w:val="186"/>
        </w:trPr>
        <w:tc>
          <w:tcPr>
            <w:tcW w:w="3289" w:type="dxa"/>
            <w:tcBorders>
              <w:left w:val="single" w:sz="4" w:space="0" w:color="000000"/>
              <w:bottom w:val="single" w:sz="4" w:space="0" w:color="000000"/>
            </w:tcBorders>
          </w:tcPr>
          <w:p w14:paraId="59C7B363" w14:textId="30C74911" w:rsidR="003B4071" w:rsidRPr="00D24F94" w:rsidRDefault="003D4DF5" w:rsidP="00346DF4">
            <w:pPr>
              <w:widowControl w:val="0"/>
              <w:spacing w:after="0" w:line="240" w:lineRule="auto"/>
              <w:ind w:right="142"/>
              <w:jc w:val="both"/>
              <w:rPr>
                <w:rFonts w:ascii="Calibri" w:hAnsi="Calibri" w:cstheme="majorHAnsi"/>
                <w:sz w:val="22"/>
              </w:rPr>
            </w:pPr>
            <w:r w:rsidRPr="003D4DF5">
              <w:rPr>
                <w:rFonts w:ascii="Calibri" w:hAnsi="Calibri" w:cstheme="majorHAnsi"/>
                <w:sz w:val="22"/>
              </w:rPr>
              <w:t>Strategy for ensuring cryogenic performance</w:t>
            </w:r>
          </w:p>
        </w:tc>
        <w:tc>
          <w:tcPr>
            <w:tcW w:w="1560" w:type="dxa"/>
            <w:tcBorders>
              <w:left w:val="single" w:sz="4" w:space="0" w:color="000000"/>
              <w:bottom w:val="single" w:sz="4" w:space="0" w:color="000000"/>
            </w:tcBorders>
            <w:vAlign w:val="center"/>
          </w:tcPr>
          <w:p w14:paraId="5D39D60A" w14:textId="30E29931" w:rsidR="003B4071" w:rsidRPr="00D24F94" w:rsidRDefault="003D683F"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 xml:space="preserve">25% </w:t>
            </w:r>
          </w:p>
        </w:tc>
        <w:tc>
          <w:tcPr>
            <w:tcW w:w="1134" w:type="dxa"/>
            <w:tcBorders>
              <w:left w:val="single" w:sz="4" w:space="0" w:color="000000"/>
              <w:bottom w:val="single" w:sz="4" w:space="0" w:color="000000"/>
            </w:tcBorders>
            <w:vAlign w:val="center"/>
          </w:tcPr>
          <w:p w14:paraId="20B5C5D6" w14:textId="77777777" w:rsidR="003B4071" w:rsidRPr="00D24F94" w:rsidRDefault="003B4071"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0 – 10</w:t>
            </w:r>
          </w:p>
        </w:tc>
        <w:tc>
          <w:tcPr>
            <w:tcW w:w="1842" w:type="dxa"/>
            <w:tcBorders>
              <w:left w:val="single" w:sz="4" w:space="0" w:color="000000"/>
              <w:bottom w:val="single" w:sz="4" w:space="0" w:color="000000"/>
              <w:right w:val="single" w:sz="4" w:space="0" w:color="000000"/>
            </w:tcBorders>
            <w:vAlign w:val="center"/>
          </w:tcPr>
          <w:p w14:paraId="78737071" w14:textId="45134E14" w:rsidR="003B4071" w:rsidRPr="00D24F94" w:rsidRDefault="003B4071"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XX/250</w:t>
            </w:r>
          </w:p>
        </w:tc>
      </w:tr>
      <w:tr w:rsidR="003B4071" w:rsidRPr="003B4071" w14:paraId="699D9E3C" w14:textId="77777777" w:rsidTr="00286669">
        <w:tc>
          <w:tcPr>
            <w:tcW w:w="3289" w:type="dxa"/>
            <w:tcBorders>
              <w:left w:val="single" w:sz="4" w:space="0" w:color="000000"/>
              <w:bottom w:val="single" w:sz="4" w:space="0" w:color="000000"/>
            </w:tcBorders>
          </w:tcPr>
          <w:p w14:paraId="3F175C93" w14:textId="7876E5B3" w:rsidR="003B4071" w:rsidRPr="00D24F94" w:rsidRDefault="003D4DF5" w:rsidP="00346DF4">
            <w:pPr>
              <w:widowControl w:val="0"/>
              <w:spacing w:after="0" w:line="240" w:lineRule="auto"/>
              <w:ind w:left="284" w:right="142" w:hanging="284"/>
              <w:jc w:val="both"/>
              <w:rPr>
                <w:rFonts w:ascii="Calibri" w:hAnsi="Calibri" w:cstheme="majorHAnsi"/>
                <w:sz w:val="22"/>
              </w:rPr>
            </w:pPr>
            <w:r w:rsidRPr="003D4DF5">
              <w:rPr>
                <w:rFonts w:ascii="Calibri" w:hAnsi="Calibri" w:cstheme="majorHAnsi"/>
                <w:sz w:val="22"/>
              </w:rPr>
              <w:t>Project schedule, core team and resource availability</w:t>
            </w:r>
          </w:p>
        </w:tc>
        <w:tc>
          <w:tcPr>
            <w:tcW w:w="1560" w:type="dxa"/>
            <w:tcBorders>
              <w:left w:val="single" w:sz="4" w:space="0" w:color="000000"/>
              <w:bottom w:val="single" w:sz="4" w:space="0" w:color="000000"/>
            </w:tcBorders>
            <w:vAlign w:val="center"/>
          </w:tcPr>
          <w:p w14:paraId="7E4751BC" w14:textId="66E9E19B" w:rsidR="003B4071" w:rsidRPr="00D24F94" w:rsidRDefault="003D683F"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15%</w:t>
            </w:r>
          </w:p>
        </w:tc>
        <w:tc>
          <w:tcPr>
            <w:tcW w:w="1134" w:type="dxa"/>
            <w:tcBorders>
              <w:left w:val="single" w:sz="4" w:space="0" w:color="000000"/>
              <w:bottom w:val="single" w:sz="4" w:space="0" w:color="000000"/>
            </w:tcBorders>
            <w:vAlign w:val="center"/>
          </w:tcPr>
          <w:p w14:paraId="4F99CA24" w14:textId="77777777" w:rsidR="003B4071" w:rsidRPr="00D24F94" w:rsidRDefault="003B4071"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0 – 10</w:t>
            </w:r>
          </w:p>
        </w:tc>
        <w:tc>
          <w:tcPr>
            <w:tcW w:w="1842" w:type="dxa"/>
            <w:tcBorders>
              <w:left w:val="single" w:sz="4" w:space="0" w:color="000000"/>
              <w:bottom w:val="single" w:sz="4" w:space="0" w:color="000000"/>
              <w:right w:val="single" w:sz="4" w:space="0" w:color="000000"/>
            </w:tcBorders>
            <w:vAlign w:val="center"/>
          </w:tcPr>
          <w:p w14:paraId="59ECB9B8" w14:textId="58A085FD" w:rsidR="003B4071" w:rsidRPr="00D24F94" w:rsidRDefault="003B4071"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XX/150</w:t>
            </w:r>
          </w:p>
        </w:tc>
      </w:tr>
      <w:tr w:rsidR="003B4071" w:rsidRPr="003B4071" w14:paraId="65C95B19" w14:textId="77777777" w:rsidTr="00286669">
        <w:tc>
          <w:tcPr>
            <w:tcW w:w="3289" w:type="dxa"/>
            <w:tcBorders>
              <w:left w:val="single" w:sz="4" w:space="0" w:color="000000"/>
              <w:bottom w:val="single" w:sz="4" w:space="0" w:color="000000"/>
            </w:tcBorders>
          </w:tcPr>
          <w:p w14:paraId="5ECC4E32" w14:textId="5F0B4A3E" w:rsidR="003B4071" w:rsidRPr="00D24F94" w:rsidRDefault="003D683F" w:rsidP="00346DF4">
            <w:pPr>
              <w:widowControl w:val="0"/>
              <w:spacing w:after="0" w:line="240" w:lineRule="auto"/>
              <w:ind w:left="284" w:right="142" w:hanging="284"/>
              <w:jc w:val="both"/>
              <w:rPr>
                <w:rFonts w:ascii="Calibri" w:hAnsi="Calibri" w:cstheme="majorHAnsi"/>
                <w:sz w:val="22"/>
              </w:rPr>
            </w:pPr>
            <w:r w:rsidRPr="00D24F94">
              <w:rPr>
                <w:rFonts w:ascii="Calibri" w:hAnsi="Calibri" w:cstheme="majorHAnsi"/>
                <w:sz w:val="22"/>
              </w:rPr>
              <w:t>General QA Concept</w:t>
            </w:r>
          </w:p>
        </w:tc>
        <w:tc>
          <w:tcPr>
            <w:tcW w:w="1560" w:type="dxa"/>
            <w:tcBorders>
              <w:left w:val="single" w:sz="4" w:space="0" w:color="000000"/>
              <w:bottom w:val="single" w:sz="4" w:space="0" w:color="000000"/>
            </w:tcBorders>
            <w:vAlign w:val="center"/>
          </w:tcPr>
          <w:p w14:paraId="5EE0AB4E" w14:textId="6C8B943F" w:rsidR="003B4071" w:rsidRPr="00D24F94" w:rsidRDefault="003D683F"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10%</w:t>
            </w:r>
          </w:p>
        </w:tc>
        <w:tc>
          <w:tcPr>
            <w:tcW w:w="1134" w:type="dxa"/>
            <w:tcBorders>
              <w:left w:val="single" w:sz="4" w:space="0" w:color="000000"/>
              <w:bottom w:val="single" w:sz="4" w:space="0" w:color="000000"/>
            </w:tcBorders>
            <w:vAlign w:val="center"/>
          </w:tcPr>
          <w:p w14:paraId="0A8C0499" w14:textId="77777777" w:rsidR="003B4071" w:rsidRPr="00D24F94" w:rsidRDefault="003B4071"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0 – 10</w:t>
            </w:r>
          </w:p>
        </w:tc>
        <w:tc>
          <w:tcPr>
            <w:tcW w:w="1842" w:type="dxa"/>
            <w:tcBorders>
              <w:left w:val="single" w:sz="4" w:space="0" w:color="000000"/>
              <w:bottom w:val="single" w:sz="4" w:space="0" w:color="000000"/>
              <w:right w:val="single" w:sz="4" w:space="0" w:color="000000"/>
            </w:tcBorders>
            <w:vAlign w:val="center"/>
          </w:tcPr>
          <w:p w14:paraId="38992265" w14:textId="74915673" w:rsidR="003B4071" w:rsidRPr="00D24F94" w:rsidRDefault="003B4071" w:rsidP="00346DF4">
            <w:pPr>
              <w:widowControl w:val="0"/>
              <w:spacing w:after="0" w:line="240" w:lineRule="auto"/>
              <w:ind w:right="141"/>
              <w:jc w:val="both"/>
              <w:rPr>
                <w:rFonts w:ascii="Calibri" w:hAnsi="Calibri" w:cstheme="majorHAnsi"/>
                <w:sz w:val="22"/>
              </w:rPr>
            </w:pPr>
            <w:r w:rsidRPr="00D24F94">
              <w:rPr>
                <w:rFonts w:ascii="Calibri" w:hAnsi="Calibri" w:cstheme="majorHAnsi"/>
                <w:sz w:val="22"/>
              </w:rPr>
              <w:t>XX/100</w:t>
            </w:r>
          </w:p>
        </w:tc>
      </w:tr>
      <w:tr w:rsidR="003B4071" w:rsidRPr="003B4071" w14:paraId="61FD655A" w14:textId="77777777" w:rsidTr="00286669">
        <w:trPr>
          <w:trHeight w:val="469"/>
        </w:trPr>
        <w:tc>
          <w:tcPr>
            <w:tcW w:w="3289" w:type="dxa"/>
            <w:tcBorders>
              <w:left w:val="single" w:sz="4" w:space="0" w:color="000000"/>
              <w:bottom w:val="single" w:sz="4" w:space="0" w:color="000000"/>
            </w:tcBorders>
            <w:vAlign w:val="center"/>
          </w:tcPr>
          <w:p w14:paraId="78B8C930" w14:textId="56F6DF8C" w:rsidR="003B4071" w:rsidRPr="00D24F94" w:rsidRDefault="003D4DF5" w:rsidP="00346DF4">
            <w:pPr>
              <w:widowControl w:val="0"/>
              <w:spacing w:after="0" w:line="240" w:lineRule="auto"/>
              <w:ind w:right="142"/>
              <w:jc w:val="both"/>
              <w:rPr>
                <w:rFonts w:ascii="Calibri" w:hAnsi="Calibri" w:cstheme="majorHAnsi"/>
                <w:sz w:val="22"/>
              </w:rPr>
            </w:pPr>
            <w:r w:rsidRPr="003D4DF5">
              <w:rPr>
                <w:rFonts w:ascii="Calibri" w:hAnsi="Calibri" w:cstheme="majorHAnsi"/>
                <w:sz w:val="22"/>
              </w:rPr>
              <w:lastRenderedPageBreak/>
              <w:t>Manufacturing and welding QA</w:t>
            </w:r>
          </w:p>
        </w:tc>
        <w:tc>
          <w:tcPr>
            <w:tcW w:w="1560" w:type="dxa"/>
            <w:tcBorders>
              <w:left w:val="single" w:sz="4" w:space="0" w:color="000000"/>
              <w:bottom w:val="single" w:sz="4" w:space="0" w:color="000000"/>
            </w:tcBorders>
            <w:vAlign w:val="center"/>
          </w:tcPr>
          <w:p w14:paraId="640B20FC" w14:textId="21436E94" w:rsidR="003B4071" w:rsidRPr="00D24F94" w:rsidRDefault="003D683F" w:rsidP="00346DF4">
            <w:pPr>
              <w:widowControl w:val="0"/>
              <w:spacing w:after="0" w:line="240" w:lineRule="auto"/>
              <w:ind w:right="142"/>
              <w:jc w:val="both"/>
              <w:rPr>
                <w:rFonts w:ascii="Calibri" w:hAnsi="Calibri" w:cstheme="majorHAnsi"/>
                <w:sz w:val="22"/>
              </w:rPr>
            </w:pPr>
            <w:r w:rsidRPr="00D24F94">
              <w:rPr>
                <w:rFonts w:ascii="Calibri" w:hAnsi="Calibri" w:cstheme="majorHAnsi"/>
                <w:sz w:val="22"/>
              </w:rPr>
              <w:t>15</w:t>
            </w:r>
            <w:r w:rsidR="003B4071" w:rsidRPr="00D24F94">
              <w:rPr>
                <w:rFonts w:ascii="Calibri" w:hAnsi="Calibri" w:cstheme="majorHAnsi"/>
                <w:sz w:val="22"/>
              </w:rPr>
              <w:t>%</w:t>
            </w:r>
          </w:p>
        </w:tc>
        <w:tc>
          <w:tcPr>
            <w:tcW w:w="1134" w:type="dxa"/>
            <w:tcBorders>
              <w:left w:val="single" w:sz="4" w:space="0" w:color="000000"/>
              <w:bottom w:val="single" w:sz="4" w:space="0" w:color="000000"/>
            </w:tcBorders>
            <w:vAlign w:val="center"/>
          </w:tcPr>
          <w:p w14:paraId="24DDBCFB" w14:textId="77777777" w:rsidR="003B4071" w:rsidRPr="00D24F94" w:rsidRDefault="003B4071" w:rsidP="00346DF4">
            <w:pPr>
              <w:widowControl w:val="0"/>
              <w:spacing w:after="0" w:line="240" w:lineRule="auto"/>
              <w:ind w:right="142"/>
              <w:jc w:val="both"/>
              <w:rPr>
                <w:rFonts w:ascii="Calibri" w:hAnsi="Calibri" w:cstheme="majorHAnsi"/>
                <w:sz w:val="22"/>
              </w:rPr>
            </w:pPr>
            <w:r w:rsidRPr="00D24F94">
              <w:rPr>
                <w:rFonts w:ascii="Calibri" w:hAnsi="Calibri" w:cstheme="majorHAnsi"/>
                <w:sz w:val="22"/>
              </w:rPr>
              <w:t>0 – 10</w:t>
            </w:r>
          </w:p>
        </w:tc>
        <w:tc>
          <w:tcPr>
            <w:tcW w:w="1842" w:type="dxa"/>
            <w:tcBorders>
              <w:left w:val="single" w:sz="4" w:space="0" w:color="000000"/>
              <w:bottom w:val="single" w:sz="4" w:space="0" w:color="000000"/>
              <w:right w:val="single" w:sz="4" w:space="0" w:color="000000"/>
            </w:tcBorders>
            <w:vAlign w:val="center"/>
          </w:tcPr>
          <w:p w14:paraId="69A7B5FC" w14:textId="77CA015C" w:rsidR="003B4071" w:rsidRPr="00D24F94" w:rsidRDefault="003B4071" w:rsidP="00346DF4">
            <w:pPr>
              <w:widowControl w:val="0"/>
              <w:spacing w:after="0" w:line="240" w:lineRule="auto"/>
              <w:ind w:right="142"/>
              <w:jc w:val="both"/>
              <w:rPr>
                <w:rFonts w:ascii="Calibri" w:hAnsi="Calibri" w:cstheme="majorHAnsi"/>
                <w:sz w:val="22"/>
              </w:rPr>
            </w:pPr>
            <w:r w:rsidRPr="00D24F94">
              <w:rPr>
                <w:rFonts w:ascii="Calibri" w:hAnsi="Calibri" w:cstheme="majorHAnsi"/>
                <w:sz w:val="22"/>
              </w:rPr>
              <w:t>XX/150</w:t>
            </w:r>
          </w:p>
        </w:tc>
      </w:tr>
      <w:tr w:rsidR="00D24F94" w:rsidRPr="003B4071" w14:paraId="6796143C" w14:textId="77777777" w:rsidTr="00286669">
        <w:trPr>
          <w:trHeight w:val="469"/>
        </w:trPr>
        <w:tc>
          <w:tcPr>
            <w:tcW w:w="3289" w:type="dxa"/>
            <w:tcBorders>
              <w:left w:val="single" w:sz="4" w:space="0" w:color="000000"/>
              <w:bottom w:val="single" w:sz="4" w:space="0" w:color="000000"/>
            </w:tcBorders>
            <w:vAlign w:val="center"/>
          </w:tcPr>
          <w:p w14:paraId="58B8835D" w14:textId="378842C7" w:rsidR="00D24F94" w:rsidRPr="003D683F" w:rsidRDefault="003D4DF5" w:rsidP="00D24F94">
            <w:pPr>
              <w:widowControl w:val="0"/>
              <w:spacing w:after="0" w:line="240" w:lineRule="auto"/>
              <w:ind w:right="142"/>
              <w:jc w:val="both"/>
              <w:rPr>
                <w:rFonts w:ascii="Calibri" w:hAnsi="Calibri" w:cstheme="majorHAnsi"/>
                <w:sz w:val="22"/>
              </w:rPr>
            </w:pPr>
            <w:r w:rsidRPr="003D4DF5">
              <w:rPr>
                <w:rFonts w:ascii="Calibri" w:hAnsi="Calibri" w:cstheme="majorHAnsi"/>
                <w:sz w:val="22"/>
              </w:rPr>
              <w:t>Cleanliness, surface treatment and vacuum QA</w:t>
            </w:r>
          </w:p>
        </w:tc>
        <w:tc>
          <w:tcPr>
            <w:tcW w:w="1560" w:type="dxa"/>
            <w:tcBorders>
              <w:left w:val="single" w:sz="4" w:space="0" w:color="000000"/>
              <w:bottom w:val="single" w:sz="4" w:space="0" w:color="000000"/>
            </w:tcBorders>
            <w:vAlign w:val="center"/>
          </w:tcPr>
          <w:p w14:paraId="39946E7D" w14:textId="56134966" w:rsidR="00D24F94" w:rsidRPr="00D24F94" w:rsidRDefault="00D24F94" w:rsidP="00D24F94">
            <w:pPr>
              <w:widowControl w:val="0"/>
              <w:spacing w:after="0" w:line="240" w:lineRule="auto"/>
              <w:ind w:right="142"/>
              <w:jc w:val="both"/>
              <w:rPr>
                <w:rFonts w:ascii="Calibri" w:hAnsi="Calibri" w:cstheme="majorHAnsi"/>
                <w:sz w:val="22"/>
              </w:rPr>
            </w:pPr>
            <w:r w:rsidRPr="00D24F94">
              <w:rPr>
                <w:rFonts w:ascii="Calibri" w:hAnsi="Calibri" w:cstheme="majorHAnsi"/>
                <w:sz w:val="22"/>
              </w:rPr>
              <w:t>10%</w:t>
            </w:r>
          </w:p>
        </w:tc>
        <w:tc>
          <w:tcPr>
            <w:tcW w:w="1134" w:type="dxa"/>
            <w:tcBorders>
              <w:left w:val="single" w:sz="4" w:space="0" w:color="000000"/>
              <w:bottom w:val="single" w:sz="4" w:space="0" w:color="000000"/>
            </w:tcBorders>
            <w:vAlign w:val="center"/>
          </w:tcPr>
          <w:p w14:paraId="0E5F73E0" w14:textId="63160C1B" w:rsidR="00D24F94" w:rsidRPr="00D24F94" w:rsidRDefault="00D24F94" w:rsidP="00D24F94">
            <w:pPr>
              <w:widowControl w:val="0"/>
              <w:spacing w:after="0" w:line="240" w:lineRule="auto"/>
              <w:ind w:right="142"/>
              <w:jc w:val="both"/>
              <w:rPr>
                <w:rFonts w:ascii="Calibri" w:hAnsi="Calibri" w:cstheme="majorHAnsi"/>
                <w:sz w:val="22"/>
              </w:rPr>
            </w:pPr>
            <w:r w:rsidRPr="00D24F94">
              <w:rPr>
                <w:rFonts w:ascii="Calibri" w:hAnsi="Calibri" w:cstheme="majorHAnsi"/>
                <w:sz w:val="22"/>
              </w:rPr>
              <w:t>0 – 10</w:t>
            </w:r>
          </w:p>
        </w:tc>
        <w:tc>
          <w:tcPr>
            <w:tcW w:w="1842" w:type="dxa"/>
            <w:tcBorders>
              <w:left w:val="single" w:sz="4" w:space="0" w:color="000000"/>
              <w:bottom w:val="single" w:sz="4" w:space="0" w:color="000000"/>
              <w:right w:val="single" w:sz="4" w:space="0" w:color="000000"/>
            </w:tcBorders>
            <w:vAlign w:val="center"/>
          </w:tcPr>
          <w:p w14:paraId="7EED1045" w14:textId="5FDB44A5" w:rsidR="00D24F94" w:rsidRPr="00D24F94" w:rsidRDefault="00D24F94" w:rsidP="00D24F94">
            <w:pPr>
              <w:widowControl w:val="0"/>
              <w:spacing w:after="0" w:line="240" w:lineRule="auto"/>
              <w:ind w:right="142"/>
              <w:jc w:val="both"/>
              <w:rPr>
                <w:rFonts w:ascii="Calibri" w:hAnsi="Calibri" w:cstheme="majorHAnsi"/>
                <w:sz w:val="22"/>
              </w:rPr>
            </w:pPr>
            <w:r w:rsidRPr="00D24F94">
              <w:rPr>
                <w:rFonts w:ascii="Calibri" w:hAnsi="Calibri" w:cstheme="majorHAnsi"/>
                <w:sz w:val="22"/>
              </w:rPr>
              <w:t>XX/100</w:t>
            </w:r>
          </w:p>
        </w:tc>
      </w:tr>
      <w:tr w:rsidR="00D24F94" w:rsidRPr="003B4071" w14:paraId="3E3A7E47" w14:textId="77777777" w:rsidTr="00286669">
        <w:trPr>
          <w:trHeight w:val="406"/>
        </w:trPr>
        <w:tc>
          <w:tcPr>
            <w:tcW w:w="3289" w:type="dxa"/>
            <w:tcBorders>
              <w:left w:val="single" w:sz="4" w:space="0" w:color="000000"/>
              <w:bottom w:val="single" w:sz="4" w:space="0" w:color="000000"/>
            </w:tcBorders>
            <w:vAlign w:val="center"/>
          </w:tcPr>
          <w:p w14:paraId="5126219C" w14:textId="77777777" w:rsidR="00D24F94" w:rsidRPr="00D24F94" w:rsidRDefault="00D24F94" w:rsidP="00D24F94">
            <w:pPr>
              <w:widowControl w:val="0"/>
              <w:spacing w:after="0" w:line="240" w:lineRule="auto"/>
              <w:ind w:right="142"/>
              <w:jc w:val="both"/>
              <w:rPr>
                <w:rFonts w:ascii="Calibri" w:hAnsi="Calibri" w:cstheme="majorHAnsi"/>
                <w:sz w:val="22"/>
              </w:rPr>
            </w:pPr>
            <w:r w:rsidRPr="00D24F94">
              <w:rPr>
                <w:rFonts w:ascii="Calibri" w:hAnsi="Calibri" w:cstheme="majorHAnsi"/>
                <w:sz w:val="22"/>
              </w:rPr>
              <w:t>Total LK</w:t>
            </w:r>
          </w:p>
        </w:tc>
        <w:tc>
          <w:tcPr>
            <w:tcW w:w="1560" w:type="dxa"/>
            <w:tcBorders>
              <w:left w:val="single" w:sz="4" w:space="0" w:color="000000"/>
              <w:bottom w:val="single" w:sz="4" w:space="0" w:color="000000"/>
            </w:tcBorders>
            <w:vAlign w:val="center"/>
          </w:tcPr>
          <w:p w14:paraId="3EE43770" w14:textId="77777777" w:rsidR="00D24F94" w:rsidRPr="00D24F94" w:rsidRDefault="00D24F94" w:rsidP="00D24F94">
            <w:pPr>
              <w:widowControl w:val="0"/>
              <w:spacing w:after="0" w:line="240" w:lineRule="auto"/>
              <w:ind w:right="142"/>
              <w:jc w:val="both"/>
              <w:rPr>
                <w:rFonts w:ascii="Calibri" w:hAnsi="Calibri" w:cstheme="majorHAnsi"/>
                <w:sz w:val="22"/>
              </w:rPr>
            </w:pPr>
            <w:r w:rsidRPr="00D24F94">
              <w:rPr>
                <w:rFonts w:ascii="Calibri" w:hAnsi="Calibri" w:cstheme="majorHAnsi"/>
                <w:sz w:val="22"/>
              </w:rPr>
              <w:t>100%</w:t>
            </w:r>
          </w:p>
        </w:tc>
        <w:tc>
          <w:tcPr>
            <w:tcW w:w="1134" w:type="dxa"/>
            <w:tcBorders>
              <w:left w:val="single" w:sz="4" w:space="0" w:color="000000"/>
              <w:bottom w:val="single" w:sz="4" w:space="0" w:color="000000"/>
            </w:tcBorders>
            <w:vAlign w:val="center"/>
          </w:tcPr>
          <w:p w14:paraId="3F766FD7" w14:textId="77777777" w:rsidR="00D24F94" w:rsidRPr="00D24F94" w:rsidRDefault="00D24F94" w:rsidP="00D24F94">
            <w:pPr>
              <w:widowControl w:val="0"/>
              <w:spacing w:after="0" w:line="240" w:lineRule="auto"/>
              <w:ind w:right="142"/>
              <w:jc w:val="both"/>
              <w:rPr>
                <w:rFonts w:ascii="Calibri" w:hAnsi="Calibri" w:cstheme="majorHAnsi"/>
                <w:sz w:val="22"/>
              </w:rPr>
            </w:pPr>
          </w:p>
        </w:tc>
        <w:tc>
          <w:tcPr>
            <w:tcW w:w="1842" w:type="dxa"/>
            <w:tcBorders>
              <w:left w:val="single" w:sz="4" w:space="0" w:color="000000"/>
              <w:bottom w:val="single" w:sz="4" w:space="0" w:color="000000"/>
              <w:right w:val="single" w:sz="4" w:space="0" w:color="000000"/>
            </w:tcBorders>
            <w:vAlign w:val="center"/>
          </w:tcPr>
          <w:p w14:paraId="3DAD58F5" w14:textId="77777777" w:rsidR="00D24F94" w:rsidRPr="00D24F94" w:rsidRDefault="00D24F94" w:rsidP="00D24F94">
            <w:pPr>
              <w:widowControl w:val="0"/>
              <w:spacing w:after="0" w:line="240" w:lineRule="auto"/>
              <w:ind w:right="142"/>
              <w:jc w:val="both"/>
              <w:rPr>
                <w:rFonts w:ascii="Calibri" w:hAnsi="Calibri" w:cstheme="majorHAnsi"/>
                <w:sz w:val="22"/>
              </w:rPr>
            </w:pPr>
            <w:r w:rsidRPr="00D24F94">
              <w:rPr>
                <w:rFonts w:ascii="Calibri" w:hAnsi="Calibri" w:cstheme="majorHAnsi"/>
                <w:sz w:val="22"/>
              </w:rPr>
              <w:t>XX/1000</w:t>
            </w:r>
          </w:p>
        </w:tc>
      </w:tr>
    </w:tbl>
    <w:p w14:paraId="650B4A60" w14:textId="77777777" w:rsidR="00A577C0" w:rsidRPr="003B4071" w:rsidRDefault="00A577C0" w:rsidP="00346DF4">
      <w:pPr>
        <w:pStyle w:val="Listenabsatz"/>
        <w:jc w:val="both"/>
        <w:rPr>
          <w:rFonts w:cs="Arial"/>
          <w:bCs/>
        </w:rPr>
      </w:pPr>
    </w:p>
    <w:p w14:paraId="1B965017" w14:textId="77777777" w:rsidR="00A577C0" w:rsidRPr="003B4071" w:rsidRDefault="00A577C0" w:rsidP="007B3FB7">
      <w:pPr>
        <w:pStyle w:val="Listenabsatz"/>
        <w:spacing w:after="240"/>
        <w:contextualSpacing w:val="0"/>
        <w:jc w:val="both"/>
        <w:rPr>
          <w:rFonts w:cs="Arial"/>
          <w:bCs/>
        </w:rPr>
      </w:pPr>
      <w:r w:rsidRPr="003B4071">
        <w:rPr>
          <w:rFonts w:cs="Arial"/>
          <w:bCs/>
        </w:rPr>
        <w:t>The following explains the criteria used to evaluate the specified award criteria:</w:t>
      </w:r>
    </w:p>
    <w:p w14:paraId="708B4B09" w14:textId="77777777" w:rsidR="00A577C0" w:rsidRPr="003B4071" w:rsidRDefault="00A577C0" w:rsidP="007B3FB7">
      <w:pPr>
        <w:pStyle w:val="Listenabsatz"/>
        <w:keepNext/>
        <w:contextualSpacing w:val="0"/>
        <w:jc w:val="both"/>
        <w:rPr>
          <w:rFonts w:cs="Arial"/>
          <w:b/>
          <w:bCs/>
        </w:rPr>
      </w:pPr>
      <w:r w:rsidRPr="003B4071">
        <w:rPr>
          <w:rFonts w:cs="Arial"/>
          <w:b/>
          <w:bCs/>
        </w:rPr>
        <w:t>6.1</w:t>
      </w:r>
      <w:r w:rsidRPr="003B4071">
        <w:rPr>
          <w:rFonts w:cs="Arial"/>
          <w:b/>
          <w:bCs/>
        </w:rPr>
        <w:tab/>
        <w:t>Weighting of the award criteria</w:t>
      </w:r>
    </w:p>
    <w:p w14:paraId="2ACA7974" w14:textId="77777777" w:rsidR="0084000D" w:rsidRPr="003B4071" w:rsidRDefault="0084000D" w:rsidP="007B3FB7">
      <w:pPr>
        <w:spacing w:line="276" w:lineRule="auto"/>
        <w:rPr>
          <w:rFonts w:ascii="Calibri" w:hAnsi="Calibri" w:cs="Calibri"/>
          <w:sz w:val="22"/>
          <w:u w:val="single"/>
        </w:rPr>
      </w:pPr>
      <w:r w:rsidRPr="003B4071">
        <w:rPr>
          <w:rFonts w:ascii="Calibri" w:hAnsi="Calibri" w:cs="Calibri"/>
          <w:sz w:val="22"/>
        </w:rPr>
        <w:t xml:space="preserve">Evaluation is based on the price-ratio method. </w:t>
      </w:r>
      <w:r w:rsidRPr="003B4071">
        <w:rPr>
          <w:rFonts w:ascii="Calibri" w:hAnsi="Calibri" w:cs="Calibri"/>
          <w:bCs/>
          <w:sz w:val="22"/>
        </w:rPr>
        <w:t>Price and performance are assigned the weighting factors listed above. The price-ratio method can be illustrated as follows:</w:t>
      </w:r>
    </w:p>
    <w:p w14:paraId="34A2213F" w14:textId="77777777" w:rsidR="007B3FB7" w:rsidRPr="003B4071" w:rsidRDefault="007B3FB7" w:rsidP="007B3FB7">
      <w:pPr>
        <w:rPr>
          <w:rFonts w:ascii="Calibri" w:eastAsiaTheme="minorEastAsia" w:hAnsi="Calibri" w:cs="Calibri"/>
          <w:iCs/>
          <w:sz w:val="24"/>
          <w:szCs w:val="24"/>
        </w:rPr>
      </w:pPr>
      <m:oMathPara>
        <m:oMath>
          <m:r>
            <w:rPr>
              <w:rFonts w:ascii="Cambria Math" w:hAnsi="Cambria Math"/>
            </w:rPr>
            <m:t xml:space="preserve"> Z=G</m:t>
          </m:r>
          <m:d>
            <m:dPr>
              <m:ctrlPr>
                <w:rPr>
                  <w:rFonts w:ascii="Cambria Math" w:hAnsi="Cambria Math"/>
                  <w:i/>
                  <w:iCs/>
                  <w:sz w:val="24"/>
                  <w:szCs w:val="24"/>
                </w:rPr>
              </m:ctrlPr>
            </m:dPr>
            <m:e>
              <m:r>
                <w:rPr>
                  <w:rFonts w:ascii="Cambria Math" w:hAnsi="Cambria Math"/>
                </w:rPr>
                <m:t>Leistung</m:t>
              </m:r>
            </m:e>
          </m:d>
          <m:r>
            <w:rPr>
              <w:rFonts w:ascii="Cambria Math" w:hAnsi="Cambria Math"/>
            </w:rPr>
            <m:t>*L</m:t>
          </m:r>
          <m:d>
            <m:dPr>
              <m:ctrlPr>
                <w:rPr>
                  <w:rFonts w:ascii="Cambria Math" w:hAnsi="Cambria Math"/>
                  <w:i/>
                </w:rPr>
              </m:ctrlPr>
            </m:dPr>
            <m:e>
              <m:r>
                <w:rPr>
                  <w:rFonts w:ascii="Cambria Math" w:hAnsi="Cambria Math"/>
                </w:rPr>
                <m:t>Angebot</m:t>
              </m:r>
            </m:e>
          </m:d>
          <m:r>
            <w:rPr>
              <w:rFonts w:ascii="Cambria Math" w:hAnsi="Cambria Math"/>
            </w:rPr>
            <m:t>+G</m:t>
          </m:r>
          <m:d>
            <m:dPr>
              <m:ctrlPr>
                <w:rPr>
                  <w:rFonts w:ascii="Cambria Math" w:hAnsi="Cambria Math"/>
                  <w:i/>
                </w:rPr>
              </m:ctrlPr>
            </m:dPr>
            <m:e>
              <m:r>
                <w:rPr>
                  <w:rFonts w:ascii="Cambria Math" w:hAnsi="Cambria Math"/>
                </w:rPr>
                <m:t>Preis</m:t>
              </m:r>
            </m:e>
          </m:d>
          <m:f>
            <m:fPr>
              <m:ctrlPr>
                <w:rPr>
                  <w:rFonts w:ascii="Cambria Math" w:hAnsi="Cambria Math"/>
                  <w:i/>
                  <w:iCs/>
                  <w:sz w:val="24"/>
                  <w:szCs w:val="24"/>
                </w:rPr>
              </m:ctrlPr>
            </m:fPr>
            <m:num>
              <m:r>
                <w:rPr>
                  <w:rFonts w:ascii="Cambria Math" w:hAnsi="Cambria Math"/>
                </w:rPr>
                <m:t>L</m:t>
              </m:r>
              <m:d>
                <m:dPr>
                  <m:ctrlPr>
                    <w:rPr>
                      <w:rFonts w:ascii="Cambria Math" w:hAnsi="Cambria Math"/>
                      <w:i/>
                      <w:iCs/>
                      <w:sz w:val="24"/>
                      <w:szCs w:val="24"/>
                    </w:rPr>
                  </m:ctrlPr>
                </m:dPr>
                <m:e>
                  <m:r>
                    <w:rPr>
                      <w:rFonts w:ascii="Cambria Math" w:hAnsi="Cambria Math"/>
                    </w:rPr>
                    <m:t>best</m:t>
                  </m:r>
                </m:e>
              </m:d>
              <m:r>
                <w:rPr>
                  <w:rFonts w:ascii="Cambria Math" w:hAnsi="Cambria Math"/>
                </w:rPr>
                <m:t>*P</m:t>
              </m:r>
              <m:d>
                <m:dPr>
                  <m:ctrlPr>
                    <w:rPr>
                      <w:rFonts w:ascii="Cambria Math" w:hAnsi="Cambria Math"/>
                      <w:i/>
                    </w:rPr>
                  </m:ctrlPr>
                </m:dPr>
                <m:e>
                  <m:r>
                    <w:rPr>
                      <w:rFonts w:ascii="Cambria Math" w:hAnsi="Cambria Math"/>
                    </w:rPr>
                    <m:t>niedrigst</m:t>
                  </m:r>
                </m:e>
              </m:d>
            </m:num>
            <m:den>
              <m:r>
                <w:rPr>
                  <w:rFonts w:ascii="Cambria Math" w:hAnsi="Cambria Math"/>
                </w:rPr>
                <m:t>P</m:t>
              </m:r>
              <m:d>
                <m:dPr>
                  <m:ctrlPr>
                    <w:rPr>
                      <w:rFonts w:ascii="Cambria Math" w:hAnsi="Cambria Math"/>
                      <w:i/>
                    </w:rPr>
                  </m:ctrlPr>
                </m:dPr>
                <m:e>
                  <m:r>
                    <w:rPr>
                      <w:rFonts w:ascii="Cambria Math" w:hAnsi="Cambria Math"/>
                    </w:rPr>
                    <m:t>Angebot</m:t>
                  </m:r>
                </m:e>
              </m:d>
            </m:den>
          </m:f>
        </m:oMath>
      </m:oMathPara>
    </w:p>
    <w:p w14:paraId="4AE23A03" w14:textId="77777777" w:rsidR="00A577C0" w:rsidRPr="003B4071" w:rsidRDefault="00A577C0" w:rsidP="007B3FB7">
      <w:pPr>
        <w:spacing w:line="276" w:lineRule="auto"/>
        <w:rPr>
          <w:rFonts w:ascii="Calibri" w:eastAsiaTheme="minorEastAsia" w:hAnsi="Calibri" w:cs="Calibri"/>
          <w:sz w:val="22"/>
        </w:rPr>
      </w:pPr>
      <w:r w:rsidRPr="003B4071">
        <w:rPr>
          <w:rFonts w:ascii="Calibri" w:hAnsi="Calibri" w:cs="Calibri"/>
          <w:bCs/>
          <w:sz w:val="22"/>
        </w:rPr>
        <w:t>The individual components of the formula are defined as follows:</w:t>
      </w:r>
    </w:p>
    <w:p w14:paraId="63D873E8" w14:textId="77777777" w:rsidR="00A577C0" w:rsidRPr="003B4071" w:rsidRDefault="00A577C0" w:rsidP="007B3FB7">
      <w:pPr>
        <w:pStyle w:val="Listenabsatz"/>
        <w:spacing w:after="240"/>
        <w:ind w:left="1276" w:hanging="1276"/>
        <w:jc w:val="both"/>
        <w:rPr>
          <w:rFonts w:cs="Calibri"/>
          <w:bCs/>
        </w:rPr>
      </w:pPr>
      <w:r w:rsidRPr="003B4071">
        <w:rPr>
          <w:rFonts w:cs="Calibri"/>
          <w:bCs/>
        </w:rPr>
        <w:t>Z(Offer) =</w:t>
      </w:r>
      <w:r w:rsidRPr="003B4071">
        <w:rPr>
          <w:rFonts w:cs="Calibri"/>
          <w:bCs/>
        </w:rPr>
        <w:tab/>
        <w:t>Weighted score for the price-performance evaluation of the bid being evaluated</w:t>
      </w:r>
    </w:p>
    <w:p w14:paraId="01E37DED" w14:textId="77777777" w:rsidR="00A577C0" w:rsidRPr="003B4071" w:rsidRDefault="00A577C0" w:rsidP="007B3FB7">
      <w:pPr>
        <w:pStyle w:val="Listenabsatz"/>
        <w:spacing w:after="240"/>
        <w:ind w:left="1276" w:hanging="1276"/>
        <w:jc w:val="both"/>
        <w:rPr>
          <w:rFonts w:cs="Calibri"/>
          <w:bCs/>
        </w:rPr>
      </w:pPr>
      <w:r w:rsidRPr="003B4071">
        <w:rPr>
          <w:rFonts w:cs="Calibri"/>
          <w:bCs/>
        </w:rPr>
        <w:t>G(Performance) =</w:t>
      </w:r>
      <w:r w:rsidRPr="003B4071">
        <w:rPr>
          <w:rFonts w:cs="Calibri"/>
          <w:bCs/>
        </w:rPr>
        <w:tab/>
        <w:t>Weighting factor for the performance criteria of the bid being evaluated, as shown in the table above</w:t>
      </w:r>
    </w:p>
    <w:p w14:paraId="0F629D21" w14:textId="77777777" w:rsidR="00A577C0" w:rsidRPr="003B4071" w:rsidRDefault="00A577C0" w:rsidP="007B3FB7">
      <w:pPr>
        <w:pStyle w:val="Listenabsatz"/>
        <w:spacing w:after="240"/>
        <w:ind w:left="1276" w:hanging="1276"/>
        <w:jc w:val="both"/>
        <w:rPr>
          <w:rFonts w:cs="Calibri"/>
          <w:bCs/>
        </w:rPr>
      </w:pPr>
      <w:r w:rsidRPr="003B4071">
        <w:rPr>
          <w:rFonts w:cs="Calibri"/>
          <w:bCs/>
        </w:rPr>
        <w:t>L(Offer) =</w:t>
      </w:r>
      <w:r w:rsidRPr="003B4071">
        <w:rPr>
          <w:rFonts w:cs="Calibri"/>
          <w:bCs/>
        </w:rPr>
        <w:tab/>
        <w:t>Total score for the performance criteria of the bid being evaluated, used as a reference value</w:t>
      </w:r>
    </w:p>
    <w:p w14:paraId="5532BF06" w14:textId="77777777" w:rsidR="00A577C0" w:rsidRPr="003B4071" w:rsidRDefault="00A577C0" w:rsidP="007B3FB7">
      <w:pPr>
        <w:pStyle w:val="Listenabsatz"/>
        <w:spacing w:after="240"/>
        <w:ind w:left="1276" w:hanging="1276"/>
        <w:jc w:val="both"/>
        <w:rPr>
          <w:rFonts w:cs="Calibri"/>
          <w:bCs/>
        </w:rPr>
      </w:pPr>
      <w:r w:rsidRPr="003B4071">
        <w:rPr>
          <w:rFonts w:cs="Calibri"/>
          <w:bCs/>
        </w:rPr>
        <w:t xml:space="preserve">G(Price) = </w:t>
      </w:r>
      <w:r w:rsidRPr="003B4071">
        <w:rPr>
          <w:rFonts w:cs="Calibri"/>
          <w:bCs/>
        </w:rPr>
        <w:tab/>
        <w:t>Weighting factor for the total bid price of the bid being evaluated, as shown in the table above</w:t>
      </w:r>
    </w:p>
    <w:p w14:paraId="16D73754" w14:textId="77777777" w:rsidR="00A577C0" w:rsidRPr="003B4071" w:rsidRDefault="00A577C0" w:rsidP="007B3FB7">
      <w:pPr>
        <w:pStyle w:val="Listenabsatz"/>
        <w:spacing w:after="240"/>
        <w:ind w:left="1276" w:hanging="1276"/>
        <w:jc w:val="both"/>
        <w:rPr>
          <w:rFonts w:cs="Calibri"/>
          <w:bCs/>
        </w:rPr>
      </w:pPr>
      <w:r w:rsidRPr="003B4071">
        <w:rPr>
          <w:rFonts w:cs="Calibri"/>
          <w:bCs/>
        </w:rPr>
        <w:t xml:space="preserve">L(best) = </w:t>
      </w:r>
      <w:r w:rsidRPr="003B4071">
        <w:rPr>
          <w:rFonts w:cs="Calibri"/>
          <w:bCs/>
        </w:rPr>
        <w:tab/>
        <w:t xml:space="preserve">Best total score for the performance criteria of the evaluable bids </w:t>
      </w:r>
    </w:p>
    <w:p w14:paraId="59724571" w14:textId="77777777" w:rsidR="00A577C0" w:rsidRPr="003B4071" w:rsidRDefault="00A577C0" w:rsidP="007B3FB7">
      <w:pPr>
        <w:pStyle w:val="Listenabsatz"/>
        <w:spacing w:after="240"/>
        <w:ind w:left="1276" w:hanging="1276"/>
        <w:jc w:val="both"/>
        <w:rPr>
          <w:rFonts w:cs="Calibri"/>
          <w:bCs/>
        </w:rPr>
      </w:pPr>
      <w:r w:rsidRPr="003B4071">
        <w:rPr>
          <w:rFonts w:cs="Calibri"/>
          <w:bCs/>
        </w:rPr>
        <w:t>P(lowest) =</w:t>
      </w:r>
      <w:r w:rsidRPr="003B4071">
        <w:rPr>
          <w:rFonts w:cs="Calibri"/>
          <w:bCs/>
        </w:rPr>
        <w:tab/>
        <w:t xml:space="preserve">Lowest total bid price of the evaluable bids </w:t>
      </w:r>
    </w:p>
    <w:p w14:paraId="0FDED52C" w14:textId="77777777" w:rsidR="00A577C0" w:rsidRPr="003B4071" w:rsidRDefault="00A577C0" w:rsidP="007B3FB7">
      <w:pPr>
        <w:pStyle w:val="Listenabsatz"/>
        <w:spacing w:after="240"/>
        <w:ind w:left="1276" w:hanging="1276"/>
        <w:contextualSpacing w:val="0"/>
        <w:jc w:val="both"/>
        <w:rPr>
          <w:rFonts w:cs="Calibri"/>
          <w:bCs/>
        </w:rPr>
      </w:pPr>
      <w:r w:rsidRPr="003B4071">
        <w:rPr>
          <w:rFonts w:cs="Calibri"/>
          <w:bCs/>
        </w:rPr>
        <w:t>P(bid) =</w:t>
      </w:r>
      <w:r w:rsidRPr="003B4071">
        <w:rPr>
          <w:rFonts w:cs="Calibri"/>
          <w:bCs/>
        </w:rPr>
        <w:tab/>
        <w:t>Total bid price of the bid to be evaluated</w:t>
      </w:r>
    </w:p>
    <w:p w14:paraId="72A4B9A5" w14:textId="77777777" w:rsidR="00DB0B5F" w:rsidRPr="003B4071" w:rsidRDefault="00A577C0" w:rsidP="007B3FB7">
      <w:pPr>
        <w:pStyle w:val="Listenabsatz"/>
        <w:keepNext/>
        <w:spacing w:after="240"/>
        <w:contextualSpacing w:val="0"/>
        <w:jc w:val="both"/>
        <w:rPr>
          <w:rFonts w:cs="Arial"/>
          <w:b/>
          <w:bCs/>
        </w:rPr>
      </w:pPr>
      <w:r w:rsidRPr="003B4071">
        <w:rPr>
          <w:rFonts w:cs="Arial"/>
          <w:b/>
          <w:bCs/>
        </w:rPr>
        <w:t>6.2</w:t>
      </w:r>
      <w:r w:rsidRPr="003B4071">
        <w:rPr>
          <w:rFonts w:cs="Arial"/>
          <w:b/>
          <w:bCs/>
        </w:rPr>
        <w:tab/>
        <w:t>Award criterion “Total bid price”</w:t>
      </w:r>
    </w:p>
    <w:p w14:paraId="3472E5C7" w14:textId="77777777" w:rsidR="00A577C0" w:rsidRPr="003B4071" w:rsidRDefault="00A577C0" w:rsidP="007B3FB7">
      <w:pPr>
        <w:pStyle w:val="Listenabsatz"/>
        <w:spacing w:after="240"/>
        <w:contextualSpacing w:val="0"/>
        <w:jc w:val="both"/>
        <w:rPr>
          <w:rFonts w:cs="Arial"/>
          <w:bCs/>
        </w:rPr>
      </w:pPr>
      <w:r w:rsidRPr="00286669">
        <w:rPr>
          <w:rFonts w:cs="Arial"/>
          <w:bCs/>
        </w:rPr>
        <w:t xml:space="preserve">Under the award criterion “Total Bid Price,” which </w:t>
      </w:r>
      <w:r w:rsidRPr="003B4071">
        <w:rPr>
          <w:rFonts w:cs="Arial"/>
          <w:bCs/>
        </w:rPr>
        <w:t xml:space="preserve">accounts </w:t>
      </w:r>
      <w:r w:rsidRPr="00286669">
        <w:rPr>
          <w:rFonts w:cs="Arial"/>
          <w:b/>
          <w:bCs/>
        </w:rPr>
        <w:t xml:space="preserve">for 30% of </w:t>
      </w:r>
      <w:r w:rsidRPr="003B4071">
        <w:rPr>
          <w:rFonts w:cs="Arial"/>
          <w:bCs/>
        </w:rPr>
        <w:t>the evaluation, price information is taken into account as follows:</w:t>
      </w:r>
    </w:p>
    <w:p w14:paraId="2BDFAD56" w14:textId="77777777" w:rsidR="00A577C0" w:rsidRPr="003B4071" w:rsidRDefault="00A577C0" w:rsidP="007B3FB7">
      <w:pPr>
        <w:pStyle w:val="Listenabsatz"/>
        <w:spacing w:after="240"/>
        <w:contextualSpacing w:val="0"/>
        <w:jc w:val="both"/>
        <w:rPr>
          <w:rFonts w:cs="Arial"/>
          <w:bCs/>
        </w:rPr>
      </w:pPr>
      <w:r w:rsidRPr="003B4071">
        <w:rPr>
          <w:rFonts w:cs="Arial"/>
          <w:bCs/>
        </w:rPr>
        <w:t xml:space="preserve">To submit a price bid, the </w:t>
      </w:r>
      <w:r w:rsidRPr="003B4071">
        <w:rPr>
          <w:rFonts w:cs="Arial"/>
          <w:b/>
          <w:bCs/>
        </w:rPr>
        <w:t>bid form</w:t>
      </w:r>
      <w:r w:rsidRPr="003B4071">
        <w:rPr>
          <w:rFonts w:cs="Arial"/>
          <w:bCs/>
        </w:rPr>
        <w:t xml:space="preserve"> must be completed; the requirements for this are specified in detail in the bid form itself and in the statement of work.</w:t>
      </w:r>
    </w:p>
    <w:p w14:paraId="3F0979C2" w14:textId="706D96BB" w:rsidR="00A577C0" w:rsidRPr="003B4071" w:rsidRDefault="00A577C0" w:rsidP="007B3FB7">
      <w:pPr>
        <w:pStyle w:val="Listenabsatz"/>
        <w:spacing w:after="240"/>
        <w:contextualSpacing w:val="0"/>
        <w:jc w:val="both"/>
        <w:rPr>
          <w:rFonts w:cs="Arial"/>
          <w:bCs/>
        </w:rPr>
      </w:pPr>
      <w:r w:rsidRPr="003B4071">
        <w:rPr>
          <w:rFonts w:cs="Arial"/>
          <w:bCs/>
        </w:rPr>
        <w:lastRenderedPageBreak/>
        <w:t xml:space="preserve">Only the prices stated in the bid form are binding for the provision of services. </w:t>
      </w:r>
    </w:p>
    <w:p w14:paraId="76DB89B0" w14:textId="77777777" w:rsidR="00A577C0" w:rsidRPr="003B4071" w:rsidRDefault="00A577C0" w:rsidP="007B3FB7">
      <w:pPr>
        <w:pStyle w:val="Listenabsatz"/>
        <w:keepNext/>
        <w:spacing w:after="240"/>
        <w:contextualSpacing w:val="0"/>
        <w:jc w:val="both"/>
        <w:rPr>
          <w:rFonts w:cs="Arial"/>
          <w:b/>
          <w:bCs/>
        </w:rPr>
      </w:pPr>
      <w:r w:rsidRPr="003B4071">
        <w:rPr>
          <w:rFonts w:cs="Arial"/>
          <w:b/>
          <w:bCs/>
        </w:rPr>
        <w:t>6.3</w:t>
      </w:r>
      <w:r w:rsidRPr="003B4071">
        <w:rPr>
          <w:rFonts w:cs="Arial"/>
          <w:b/>
          <w:bCs/>
        </w:rPr>
        <w:tab/>
        <w:t>Evaluation Scale for the Performance Criteria</w:t>
      </w:r>
    </w:p>
    <w:p w14:paraId="5F3E255D" w14:textId="77777777" w:rsidR="00A577C0" w:rsidRPr="003B4071" w:rsidRDefault="00A577C0" w:rsidP="007B3FB7">
      <w:pPr>
        <w:pStyle w:val="Listenabsatz"/>
        <w:spacing w:after="240"/>
        <w:contextualSpacing w:val="0"/>
        <w:jc w:val="both"/>
        <w:rPr>
          <w:rFonts w:cs="Arial"/>
          <w:bCs/>
        </w:rPr>
      </w:pPr>
      <w:r w:rsidRPr="003B4071">
        <w:rPr>
          <w:rFonts w:cs="Arial"/>
          <w:bCs/>
        </w:rPr>
        <w:t>When evaluating the individual performance criteria, each criterion is scored on a continuous scale from 10 points for full achievement of a criterion to 0 points for no achievement of a criterion, according to the following pattern.</w:t>
      </w:r>
    </w:p>
    <w:tbl>
      <w:tblPr>
        <w:tblW w:w="7732" w:type="dxa"/>
        <w:tblInd w:w="65" w:type="dxa"/>
        <w:tblCellMar>
          <w:left w:w="70" w:type="dxa"/>
          <w:right w:w="70" w:type="dxa"/>
        </w:tblCellMar>
        <w:tblLook w:val="04A0" w:firstRow="1" w:lastRow="0" w:firstColumn="1" w:lastColumn="0" w:noHBand="0" w:noVBand="1"/>
      </w:tblPr>
      <w:tblGrid>
        <w:gridCol w:w="786"/>
        <w:gridCol w:w="1554"/>
        <w:gridCol w:w="147"/>
        <w:gridCol w:w="5245"/>
      </w:tblGrid>
      <w:tr w:rsidR="003B4071" w:rsidRPr="003B4071" w14:paraId="14030358" w14:textId="77777777" w:rsidTr="00DB0B5F">
        <w:trPr>
          <w:trHeight w:val="600"/>
        </w:trPr>
        <w:tc>
          <w:tcPr>
            <w:tcW w:w="786"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14:paraId="6E2C4782" w14:textId="77777777" w:rsidR="00A577C0" w:rsidRPr="003B4071" w:rsidRDefault="00A577C0" w:rsidP="00346DF4">
            <w:pPr>
              <w:tabs>
                <w:tab w:val="left" w:pos="7057"/>
              </w:tabs>
              <w:spacing w:after="0" w:line="280" w:lineRule="exact"/>
              <w:jc w:val="both"/>
              <w:rPr>
                <w:rFonts w:ascii="Calibri" w:eastAsia="Times New Roman" w:hAnsi="Calibri" w:cstheme="minorHAnsi"/>
                <w:b/>
                <w:bCs/>
                <w:sz w:val="22"/>
                <w:lang w:eastAsia="de-DE"/>
              </w:rPr>
            </w:pPr>
            <w:r w:rsidRPr="003B4071">
              <w:rPr>
                <w:rFonts w:ascii="Calibri" w:eastAsia="Times New Roman" w:hAnsi="Calibri" w:cstheme="minorHAnsi"/>
                <w:b/>
                <w:bCs/>
                <w:sz w:val="22"/>
                <w:lang w:eastAsia="de-DE"/>
              </w:rPr>
              <w:t>Points</w:t>
            </w:r>
          </w:p>
        </w:tc>
        <w:tc>
          <w:tcPr>
            <w:tcW w:w="1554" w:type="dxa"/>
            <w:tcBorders>
              <w:top w:val="single" w:sz="4" w:space="0" w:color="auto"/>
              <w:left w:val="nil"/>
              <w:bottom w:val="single" w:sz="4" w:space="0" w:color="auto"/>
              <w:right w:val="single" w:sz="4" w:space="0" w:color="auto"/>
            </w:tcBorders>
            <w:shd w:val="clear" w:color="000000" w:fill="C5D9F1"/>
            <w:noWrap/>
            <w:vAlign w:val="bottom"/>
            <w:hideMark/>
          </w:tcPr>
          <w:p w14:paraId="33C0478E" w14:textId="77777777" w:rsidR="00A577C0" w:rsidRPr="003B4071" w:rsidRDefault="00A577C0" w:rsidP="00346DF4">
            <w:pPr>
              <w:tabs>
                <w:tab w:val="left" w:pos="7057"/>
              </w:tabs>
              <w:spacing w:after="0" w:line="280" w:lineRule="exact"/>
              <w:jc w:val="both"/>
              <w:rPr>
                <w:rFonts w:ascii="Calibri" w:eastAsia="Times New Roman" w:hAnsi="Calibri" w:cstheme="minorHAnsi"/>
                <w:b/>
                <w:bCs/>
                <w:sz w:val="22"/>
                <w:lang w:eastAsia="de-DE"/>
              </w:rPr>
            </w:pPr>
            <w:r w:rsidRPr="003B4071">
              <w:rPr>
                <w:rFonts w:ascii="Calibri" w:eastAsia="Times New Roman" w:hAnsi="Calibri" w:cstheme="minorHAnsi"/>
                <w:b/>
                <w:bCs/>
                <w:sz w:val="22"/>
                <w:lang w:eastAsia="de-DE"/>
              </w:rPr>
              <w:t>Rating</w:t>
            </w:r>
          </w:p>
        </w:tc>
        <w:tc>
          <w:tcPr>
            <w:tcW w:w="5392" w:type="dxa"/>
            <w:gridSpan w:val="2"/>
            <w:tcBorders>
              <w:top w:val="single" w:sz="4" w:space="0" w:color="auto"/>
              <w:left w:val="nil"/>
              <w:bottom w:val="single" w:sz="4" w:space="0" w:color="auto"/>
              <w:right w:val="single" w:sz="4" w:space="0" w:color="auto"/>
            </w:tcBorders>
            <w:shd w:val="clear" w:color="000000" w:fill="C5D9F1"/>
            <w:noWrap/>
            <w:vAlign w:val="bottom"/>
            <w:hideMark/>
          </w:tcPr>
          <w:p w14:paraId="7285D9D7" w14:textId="77777777" w:rsidR="00A577C0" w:rsidRPr="003B4071" w:rsidRDefault="00A577C0" w:rsidP="00346DF4">
            <w:pPr>
              <w:tabs>
                <w:tab w:val="left" w:pos="7057"/>
              </w:tabs>
              <w:spacing w:after="0" w:line="280" w:lineRule="exact"/>
              <w:jc w:val="both"/>
              <w:rPr>
                <w:rFonts w:ascii="Calibri" w:eastAsia="Times New Roman" w:hAnsi="Calibri" w:cstheme="minorHAnsi"/>
                <w:b/>
                <w:bCs/>
                <w:sz w:val="22"/>
                <w:lang w:eastAsia="de-DE"/>
              </w:rPr>
            </w:pPr>
            <w:r w:rsidRPr="003B4071">
              <w:rPr>
                <w:rFonts w:ascii="Calibri" w:eastAsia="Times New Roman" w:hAnsi="Calibri" w:cstheme="minorHAnsi"/>
                <w:b/>
                <w:bCs/>
                <w:sz w:val="22"/>
                <w:lang w:eastAsia="de-DE"/>
              </w:rPr>
              <w:t>Comment</w:t>
            </w:r>
          </w:p>
        </w:tc>
      </w:tr>
      <w:tr w:rsidR="003B4071" w:rsidRPr="003B4071" w14:paraId="7F95B198"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52A412B8"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9–10</w:t>
            </w:r>
          </w:p>
        </w:tc>
        <w:tc>
          <w:tcPr>
            <w:tcW w:w="1701" w:type="dxa"/>
            <w:gridSpan w:val="2"/>
            <w:tcBorders>
              <w:top w:val="nil"/>
              <w:left w:val="nil"/>
              <w:bottom w:val="single" w:sz="4" w:space="0" w:color="auto"/>
              <w:right w:val="single" w:sz="4" w:space="0" w:color="auto"/>
            </w:tcBorders>
            <w:shd w:val="clear" w:color="auto" w:fill="auto"/>
            <w:noWrap/>
            <w:vAlign w:val="bottom"/>
            <w:hideMark/>
          </w:tcPr>
          <w:p w14:paraId="7B6F0F2E"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Very Good</w:t>
            </w:r>
          </w:p>
        </w:tc>
        <w:tc>
          <w:tcPr>
            <w:tcW w:w="5245" w:type="dxa"/>
            <w:tcBorders>
              <w:top w:val="nil"/>
              <w:left w:val="nil"/>
              <w:bottom w:val="single" w:sz="4" w:space="0" w:color="auto"/>
              <w:right w:val="single" w:sz="4" w:space="0" w:color="auto"/>
            </w:tcBorders>
            <w:shd w:val="clear" w:color="auto" w:fill="auto"/>
            <w:vAlign w:val="bottom"/>
            <w:hideMark/>
          </w:tcPr>
          <w:p w14:paraId="6EA65EF4"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Exceptionally strong fulfillment of the performance criteria</w:t>
            </w:r>
          </w:p>
        </w:tc>
      </w:tr>
      <w:tr w:rsidR="003B4071" w:rsidRPr="003B4071" w14:paraId="2EB7534F"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2CCB1745"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7–8</w:t>
            </w:r>
          </w:p>
        </w:tc>
        <w:tc>
          <w:tcPr>
            <w:tcW w:w="1701" w:type="dxa"/>
            <w:gridSpan w:val="2"/>
            <w:tcBorders>
              <w:top w:val="nil"/>
              <w:left w:val="nil"/>
              <w:bottom w:val="single" w:sz="4" w:space="0" w:color="auto"/>
              <w:right w:val="single" w:sz="4" w:space="0" w:color="auto"/>
            </w:tcBorders>
            <w:shd w:val="clear" w:color="auto" w:fill="auto"/>
            <w:noWrap/>
            <w:vAlign w:val="bottom"/>
            <w:hideMark/>
          </w:tcPr>
          <w:p w14:paraId="06488012"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Good</w:t>
            </w:r>
          </w:p>
        </w:tc>
        <w:tc>
          <w:tcPr>
            <w:tcW w:w="5245" w:type="dxa"/>
            <w:tcBorders>
              <w:top w:val="nil"/>
              <w:left w:val="nil"/>
              <w:bottom w:val="single" w:sz="4" w:space="0" w:color="auto"/>
              <w:right w:val="single" w:sz="4" w:space="0" w:color="auto"/>
            </w:tcBorders>
            <w:shd w:val="clear" w:color="auto" w:fill="auto"/>
            <w:vAlign w:val="bottom"/>
            <w:hideMark/>
          </w:tcPr>
          <w:p w14:paraId="2665E963"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Performance criteria met at a level significantly above average, despite minor shortcomings</w:t>
            </w:r>
          </w:p>
        </w:tc>
      </w:tr>
      <w:tr w:rsidR="003B4071" w:rsidRPr="003B4071" w14:paraId="534E997F"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4A03B718"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5–6</w:t>
            </w:r>
          </w:p>
        </w:tc>
        <w:tc>
          <w:tcPr>
            <w:tcW w:w="1701" w:type="dxa"/>
            <w:gridSpan w:val="2"/>
            <w:tcBorders>
              <w:top w:val="nil"/>
              <w:left w:val="nil"/>
              <w:bottom w:val="single" w:sz="4" w:space="0" w:color="auto"/>
              <w:right w:val="single" w:sz="4" w:space="0" w:color="auto"/>
            </w:tcBorders>
            <w:shd w:val="clear" w:color="auto" w:fill="auto"/>
            <w:noWrap/>
            <w:vAlign w:val="bottom"/>
            <w:hideMark/>
          </w:tcPr>
          <w:p w14:paraId="0B93F2CE"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Satisfactory</w:t>
            </w:r>
          </w:p>
        </w:tc>
        <w:tc>
          <w:tcPr>
            <w:tcW w:w="5245" w:type="dxa"/>
            <w:tcBorders>
              <w:top w:val="nil"/>
              <w:left w:val="nil"/>
              <w:bottom w:val="single" w:sz="4" w:space="0" w:color="auto"/>
              <w:right w:val="single" w:sz="4" w:space="0" w:color="auto"/>
            </w:tcBorders>
            <w:shd w:val="clear" w:color="auto" w:fill="auto"/>
            <w:vAlign w:val="bottom"/>
            <w:hideMark/>
          </w:tcPr>
          <w:p w14:paraId="45D68F91"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 xml:space="preserve">Meets the performance criteria; although there are minor to moderate shortcomings, the work still meets average standards </w:t>
            </w:r>
          </w:p>
        </w:tc>
      </w:tr>
      <w:tr w:rsidR="003B4071" w:rsidRPr="003B4071" w14:paraId="0540F607"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09638597"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3–4</w:t>
            </w:r>
          </w:p>
        </w:tc>
        <w:tc>
          <w:tcPr>
            <w:tcW w:w="1701" w:type="dxa"/>
            <w:gridSpan w:val="2"/>
            <w:tcBorders>
              <w:top w:val="nil"/>
              <w:left w:val="nil"/>
              <w:bottom w:val="single" w:sz="4" w:space="0" w:color="auto"/>
              <w:right w:val="single" w:sz="4" w:space="0" w:color="auto"/>
            </w:tcBorders>
            <w:shd w:val="clear" w:color="auto" w:fill="auto"/>
            <w:noWrap/>
            <w:vAlign w:val="bottom"/>
            <w:hideMark/>
          </w:tcPr>
          <w:p w14:paraId="4A08AD46"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Satisfactory</w:t>
            </w:r>
          </w:p>
        </w:tc>
        <w:tc>
          <w:tcPr>
            <w:tcW w:w="5245" w:type="dxa"/>
            <w:tcBorders>
              <w:top w:val="nil"/>
              <w:left w:val="nil"/>
              <w:bottom w:val="single" w:sz="4" w:space="0" w:color="auto"/>
              <w:right w:val="single" w:sz="4" w:space="0" w:color="auto"/>
            </w:tcBorders>
            <w:shd w:val="clear" w:color="auto" w:fill="auto"/>
            <w:vAlign w:val="bottom"/>
            <w:hideMark/>
          </w:tcPr>
          <w:p w14:paraId="49EC31D8"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Fulfills the criteria but suffers from significant shortcomings, making it barely acceptable overall</w:t>
            </w:r>
          </w:p>
        </w:tc>
      </w:tr>
      <w:tr w:rsidR="00A577C0" w:rsidRPr="003B4071" w14:paraId="04C0CDEC"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282B13C1"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0–2</w:t>
            </w:r>
          </w:p>
        </w:tc>
        <w:tc>
          <w:tcPr>
            <w:tcW w:w="1701" w:type="dxa"/>
            <w:gridSpan w:val="2"/>
            <w:tcBorders>
              <w:top w:val="nil"/>
              <w:left w:val="nil"/>
              <w:bottom w:val="single" w:sz="4" w:space="0" w:color="auto"/>
              <w:right w:val="single" w:sz="4" w:space="0" w:color="auto"/>
            </w:tcBorders>
            <w:shd w:val="clear" w:color="auto" w:fill="auto"/>
            <w:noWrap/>
            <w:vAlign w:val="bottom"/>
            <w:hideMark/>
          </w:tcPr>
          <w:p w14:paraId="17A1A935"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Poor to Inadequate</w:t>
            </w:r>
          </w:p>
        </w:tc>
        <w:tc>
          <w:tcPr>
            <w:tcW w:w="5245" w:type="dxa"/>
            <w:tcBorders>
              <w:top w:val="nil"/>
              <w:left w:val="nil"/>
              <w:bottom w:val="single" w:sz="4" w:space="0" w:color="auto"/>
              <w:right w:val="single" w:sz="4" w:space="0" w:color="auto"/>
            </w:tcBorders>
            <w:shd w:val="clear" w:color="auto" w:fill="auto"/>
            <w:vAlign w:val="bottom"/>
            <w:hideMark/>
          </w:tcPr>
          <w:p w14:paraId="2FE524C8" w14:textId="77777777" w:rsidR="00A577C0" w:rsidRPr="003B4071" w:rsidRDefault="00A577C0" w:rsidP="00346DF4">
            <w:pPr>
              <w:tabs>
                <w:tab w:val="left" w:pos="7057"/>
              </w:tabs>
              <w:spacing w:after="0" w:line="280" w:lineRule="exact"/>
              <w:jc w:val="both"/>
              <w:rPr>
                <w:rFonts w:ascii="Calibri" w:eastAsia="Times New Roman" w:hAnsi="Calibri" w:cstheme="minorHAnsi"/>
                <w:sz w:val="22"/>
                <w:lang w:eastAsia="de-DE"/>
              </w:rPr>
            </w:pPr>
            <w:r w:rsidRPr="003B4071">
              <w:rPr>
                <w:rFonts w:ascii="Calibri" w:eastAsia="Times New Roman" w:hAnsi="Calibri" w:cstheme="minorHAnsi"/>
                <w:sz w:val="22"/>
                <w:lang w:eastAsia="de-DE"/>
              </w:rPr>
              <w:t xml:space="preserve">Completely unusable fulfillment of the required criteria </w:t>
            </w:r>
          </w:p>
        </w:tc>
      </w:tr>
    </w:tbl>
    <w:p w14:paraId="73A8923A" w14:textId="77777777" w:rsidR="00A577C0" w:rsidRPr="003B4071" w:rsidRDefault="00A577C0" w:rsidP="00346DF4">
      <w:pPr>
        <w:pStyle w:val="Listenabsatz"/>
        <w:jc w:val="both"/>
        <w:rPr>
          <w:rFonts w:cs="Arial"/>
          <w:bCs/>
        </w:rPr>
      </w:pPr>
    </w:p>
    <w:p w14:paraId="24FE9D74" w14:textId="77777777" w:rsidR="00A577C0" w:rsidRPr="003B4071" w:rsidRDefault="00A577C0" w:rsidP="007B3FB7">
      <w:pPr>
        <w:pStyle w:val="Listenabsatz"/>
        <w:spacing w:after="240"/>
        <w:contextualSpacing w:val="0"/>
        <w:jc w:val="both"/>
        <w:rPr>
          <w:rFonts w:cs="Arial"/>
          <w:bCs/>
        </w:rPr>
      </w:pPr>
      <w:r w:rsidRPr="003B4071">
        <w:rPr>
          <w:rFonts w:cs="Arial"/>
          <w:bCs/>
        </w:rPr>
        <w:t xml:space="preserve">For each required </w:t>
      </w:r>
      <w:r w:rsidRPr="003B4071">
        <w:rPr>
          <w:rFonts w:cs="Arial"/>
          <w:b/>
          <w:bCs/>
        </w:rPr>
        <w:t>performance criterion</w:t>
      </w:r>
      <w:r w:rsidRPr="003B4071">
        <w:rPr>
          <w:rFonts w:cs="Arial"/>
          <w:bCs/>
        </w:rPr>
        <w:t>, the content guidelines below list questions and aspects that—depending on the criterion—should be addressed conceptually or through technical descriptions, etc. The following levels of achievement apply to attaining the individual point levels:</w:t>
      </w:r>
    </w:p>
    <w:p w14:paraId="56EB31A6" w14:textId="77777777" w:rsidR="00A577C0" w:rsidRPr="003B4071" w:rsidRDefault="00A577C0" w:rsidP="007B3FB7">
      <w:pPr>
        <w:pStyle w:val="Listenabsatz"/>
        <w:spacing w:after="240"/>
        <w:contextualSpacing w:val="0"/>
        <w:jc w:val="both"/>
        <w:rPr>
          <w:rFonts w:cs="Arial"/>
          <w:bCs/>
        </w:rPr>
      </w:pPr>
      <w:r w:rsidRPr="003B4071">
        <w:rPr>
          <w:rFonts w:cs="Arial"/>
          <w:bCs/>
        </w:rPr>
        <w:t>If there are serious deficiencies in the explanations, the performance criterion is classified as unusable and thus as poor or unsatisfactory (0–2 points).</w:t>
      </w:r>
    </w:p>
    <w:p w14:paraId="17DC8439" w14:textId="77777777" w:rsidR="00A577C0" w:rsidRPr="003B4071" w:rsidRDefault="00A577C0" w:rsidP="007B3FB7">
      <w:pPr>
        <w:pStyle w:val="Listenabsatz"/>
        <w:spacing w:after="240"/>
        <w:contextualSpacing w:val="0"/>
        <w:jc w:val="both"/>
        <w:rPr>
          <w:rFonts w:cs="Arial"/>
          <w:bCs/>
        </w:rPr>
      </w:pPr>
      <w:r w:rsidRPr="003B4071">
        <w:rPr>
          <w:rFonts w:cs="Arial"/>
          <w:bCs/>
        </w:rPr>
        <w:t>If there are significant deficiencies in the explanations regarding the listed questions and aspects, the criterion is classified as barely meeting the criteria overall and is therefore rated as just sufficient but below average (3–4 points).</w:t>
      </w:r>
    </w:p>
    <w:p w14:paraId="01C94D29" w14:textId="77777777" w:rsidR="00A577C0" w:rsidRPr="003B4071" w:rsidRDefault="00A577C0" w:rsidP="007B3FB7">
      <w:pPr>
        <w:pStyle w:val="Listenabsatz"/>
        <w:spacing w:after="240"/>
        <w:contextualSpacing w:val="0"/>
        <w:jc w:val="both"/>
        <w:rPr>
          <w:rFonts w:cs="Arial"/>
          <w:bCs/>
        </w:rPr>
      </w:pPr>
      <w:r w:rsidRPr="003B4071">
        <w:rPr>
          <w:rFonts w:cs="Arial"/>
          <w:bCs/>
        </w:rPr>
        <w:t>If all questions and aspects are addressed at least briefly or if only minor to moderate deficiencies are present, the performance criterion is rated as average and thus as satisfactory (5–6 points).</w:t>
      </w:r>
    </w:p>
    <w:p w14:paraId="22A1D831" w14:textId="77777777" w:rsidR="00A577C0" w:rsidRPr="003B4071" w:rsidRDefault="00A577C0" w:rsidP="007B3FB7">
      <w:pPr>
        <w:pStyle w:val="Listenabsatz"/>
        <w:spacing w:after="240"/>
        <w:contextualSpacing w:val="0"/>
        <w:jc w:val="both"/>
        <w:rPr>
          <w:rFonts w:cs="Arial"/>
          <w:bCs/>
        </w:rPr>
      </w:pPr>
      <w:r w:rsidRPr="003B4071">
        <w:rPr>
          <w:rFonts w:cs="Arial"/>
          <w:bCs/>
        </w:rPr>
        <w:t>If all questions and aspects are covered exhaustively, with particular emphasis on the highlighted areas, or if—despite existing shortcomings—the criteria are still considered to be met to a very high degree, the performance criterion is rated as significantly above average and thus as “good” (7–8 points).</w:t>
      </w:r>
    </w:p>
    <w:p w14:paraId="35EF8F6B" w14:textId="77777777" w:rsidR="00A577C0" w:rsidRPr="003B4071" w:rsidRDefault="00A577C0" w:rsidP="007B3FB7">
      <w:pPr>
        <w:pStyle w:val="Listenabsatz"/>
        <w:spacing w:after="240"/>
        <w:contextualSpacing w:val="0"/>
        <w:jc w:val="both"/>
        <w:rPr>
          <w:rFonts w:cs="Arial"/>
          <w:bCs/>
        </w:rPr>
      </w:pPr>
      <w:r w:rsidRPr="003B4071">
        <w:rPr>
          <w:rFonts w:cs="Arial"/>
          <w:bCs/>
        </w:rPr>
        <w:lastRenderedPageBreak/>
        <w:t>If, in addition, further aspects and ideas are presented, the performance criterion is rated as particularly outstanding and thus very good (9–10 points).</w:t>
      </w:r>
    </w:p>
    <w:p w14:paraId="425DCE84" w14:textId="77777777" w:rsidR="00A577C0" w:rsidRPr="003B4071" w:rsidRDefault="00A577C0" w:rsidP="007B3FB7">
      <w:pPr>
        <w:pStyle w:val="Listenabsatz"/>
        <w:spacing w:after="240"/>
        <w:contextualSpacing w:val="0"/>
        <w:jc w:val="both"/>
        <w:rPr>
          <w:rFonts w:cs="Arial"/>
          <w:bCs/>
        </w:rPr>
      </w:pPr>
      <w:r w:rsidRPr="003B4071">
        <w:rPr>
          <w:rFonts w:cs="Arial"/>
          <w:bCs/>
        </w:rPr>
        <w:t>The results for the individual performance criteria are calculated using the published weighting to determine a weighted total score for the bidder’s performance criteria (see table above). In this process, the bids are compared with those of other bidders and evaluated.</w:t>
      </w:r>
    </w:p>
    <w:p w14:paraId="23C88535" w14:textId="77777777" w:rsidR="00A577C0" w:rsidRPr="00341DFF" w:rsidRDefault="00A577C0" w:rsidP="007B3FB7">
      <w:pPr>
        <w:pStyle w:val="Listenabsatz"/>
        <w:keepNext/>
        <w:spacing w:after="240"/>
        <w:contextualSpacing w:val="0"/>
        <w:jc w:val="both"/>
        <w:rPr>
          <w:rFonts w:cs="Arial"/>
          <w:b/>
          <w:bCs/>
        </w:rPr>
      </w:pPr>
      <w:r w:rsidRPr="00341DFF">
        <w:rPr>
          <w:rFonts w:cs="Arial"/>
          <w:b/>
          <w:bCs/>
        </w:rPr>
        <w:t>6.4</w:t>
      </w:r>
      <w:r w:rsidRPr="00341DFF">
        <w:rPr>
          <w:rFonts w:cs="Arial"/>
          <w:b/>
          <w:bCs/>
        </w:rPr>
        <w:tab/>
        <w:t>Content Requirements for the Performance Criteria:</w:t>
      </w:r>
    </w:p>
    <w:p w14:paraId="615C84B0" w14:textId="070AB674" w:rsidR="00A577C0" w:rsidRPr="00341DFF" w:rsidRDefault="00A577C0" w:rsidP="007B3FB7">
      <w:pPr>
        <w:pStyle w:val="Listenabsatz"/>
        <w:spacing w:after="240"/>
        <w:contextualSpacing w:val="0"/>
        <w:jc w:val="both"/>
        <w:rPr>
          <w:rFonts w:cs="Arial"/>
          <w:b/>
          <w:bCs/>
        </w:rPr>
      </w:pPr>
      <w:r w:rsidRPr="00341DFF">
        <w:rPr>
          <w:rFonts w:cs="Arial"/>
          <w:b/>
          <w:bCs/>
        </w:rPr>
        <w:t>The following explains the criteria used to evaluate the concepts and proposals to be submitted:</w:t>
      </w:r>
    </w:p>
    <w:p w14:paraId="0C5C52B1" w14:textId="714CC263" w:rsidR="00365E58" w:rsidRPr="00341DFF" w:rsidRDefault="00D24F94" w:rsidP="00365E58">
      <w:pPr>
        <w:pStyle w:val="Listenabsatz"/>
        <w:spacing w:after="240"/>
        <w:jc w:val="both"/>
        <w:rPr>
          <w:rFonts w:cs="Arial"/>
          <w:b/>
          <w:bCs/>
        </w:rPr>
      </w:pPr>
      <w:r w:rsidRPr="00341DFF">
        <w:rPr>
          <w:rFonts w:cs="Arial"/>
          <w:b/>
          <w:bCs/>
        </w:rPr>
        <w:t xml:space="preserve">1. </w:t>
      </w:r>
      <w:r w:rsidR="003D4DF5" w:rsidRPr="003D4DF5">
        <w:rPr>
          <w:rFonts w:cs="Arial"/>
          <w:b/>
          <w:bCs/>
        </w:rPr>
        <w:t>Concept for ensuring all technical specifications</w:t>
      </w:r>
    </w:p>
    <w:p w14:paraId="39E0F8B3" w14:textId="77777777" w:rsidR="003D4DF5" w:rsidRPr="003D4DF5" w:rsidRDefault="003D4DF5" w:rsidP="003D4DF5">
      <w:pPr>
        <w:pStyle w:val="Listenabsatz"/>
        <w:jc w:val="both"/>
        <w:rPr>
          <w:rFonts w:cs="Arial"/>
        </w:rPr>
      </w:pPr>
      <w:r w:rsidRPr="003D4DF5">
        <w:rPr>
          <w:rFonts w:cs="Arial"/>
        </w:rPr>
        <w:t>"The detailed description of the conceptual implementation should clearly show how the bidder will achieve fulfilment of the technical specifications.</w:t>
      </w:r>
    </w:p>
    <w:p w14:paraId="06B1AF4A" w14:textId="77777777" w:rsidR="003D4DF5" w:rsidRPr="003D4DF5" w:rsidRDefault="003D4DF5" w:rsidP="003D4DF5">
      <w:pPr>
        <w:pStyle w:val="Listenabsatz"/>
        <w:jc w:val="both"/>
        <w:rPr>
          <w:rFonts w:cs="Arial"/>
        </w:rPr>
      </w:pPr>
      <w:r w:rsidRPr="003D4DF5">
        <w:rPr>
          <w:rFonts w:cs="Arial"/>
        </w:rPr>
        <w:t>With regards to technical challenges, the bidder shall in particular describe their conceptual solutions of the following:</w:t>
      </w:r>
    </w:p>
    <w:p w14:paraId="699E6F90" w14:textId="77777777" w:rsidR="003D4DF5" w:rsidRPr="003D4DF5" w:rsidRDefault="003D4DF5" w:rsidP="003D4DF5">
      <w:pPr>
        <w:pStyle w:val="Listenabsatz"/>
        <w:jc w:val="both"/>
        <w:rPr>
          <w:rFonts w:cs="Arial"/>
        </w:rPr>
      </w:pPr>
      <w:r w:rsidRPr="003D4DF5">
        <w:rPr>
          <w:rFonts w:cs="Arial"/>
        </w:rPr>
        <w:t>- Suspension mounting of the cold vacuum chambers,</w:t>
      </w:r>
    </w:p>
    <w:p w14:paraId="7E2AE4AA" w14:textId="77777777" w:rsidR="003D4DF5" w:rsidRPr="003D4DF5" w:rsidRDefault="003D4DF5" w:rsidP="003D4DF5">
      <w:pPr>
        <w:pStyle w:val="Listenabsatz"/>
        <w:jc w:val="both"/>
        <w:rPr>
          <w:rFonts w:cs="Arial"/>
        </w:rPr>
      </w:pPr>
      <w:r w:rsidRPr="003D4DF5">
        <w:rPr>
          <w:rFonts w:cs="Arial"/>
        </w:rPr>
        <w:t>- Sealing main flanges of vacuum chambers,</w:t>
      </w:r>
    </w:p>
    <w:p w14:paraId="4E93498A" w14:textId="77777777" w:rsidR="003D4DF5" w:rsidRPr="003D4DF5" w:rsidRDefault="003D4DF5" w:rsidP="003D4DF5">
      <w:pPr>
        <w:pStyle w:val="Listenabsatz"/>
        <w:jc w:val="both"/>
        <w:rPr>
          <w:rFonts w:cs="Arial"/>
        </w:rPr>
      </w:pPr>
      <w:r w:rsidRPr="003D4DF5">
        <w:rPr>
          <w:rFonts w:cs="Arial"/>
        </w:rPr>
        <w:t>- Transport of the assembled CSC.</w:t>
      </w:r>
    </w:p>
    <w:p w14:paraId="03790FAC" w14:textId="77777777" w:rsidR="003D4DF5" w:rsidRPr="003D4DF5" w:rsidRDefault="003D4DF5" w:rsidP="003D4DF5">
      <w:pPr>
        <w:pStyle w:val="Listenabsatz"/>
        <w:jc w:val="both"/>
        <w:rPr>
          <w:rFonts w:cs="Arial"/>
        </w:rPr>
      </w:pPr>
      <w:r w:rsidRPr="003D4DF5">
        <w:rPr>
          <w:rFonts w:cs="Arial"/>
        </w:rPr>
        <w:t>The bidder shall demonstrate a clear conceptual understanding of the physical and mechanical boundary conditions associated with these challenges and where applicable point out potential optimization.</w:t>
      </w:r>
    </w:p>
    <w:p w14:paraId="5CFD1D99" w14:textId="7B217570" w:rsidR="00D24F94" w:rsidRDefault="003D4DF5" w:rsidP="003D4DF5">
      <w:pPr>
        <w:pStyle w:val="Listenabsatz"/>
        <w:spacing w:after="240"/>
        <w:jc w:val="both"/>
        <w:rPr>
          <w:rFonts w:cs="Arial"/>
        </w:rPr>
      </w:pPr>
      <w:r w:rsidRPr="003D4DF5">
        <w:rPr>
          <w:rFonts w:cs="Arial"/>
        </w:rPr>
        <w:t>The completeness, level of detail and plausibility of the information provided are evaluated. A high rated concept is clear, coherent, and well-reasoned. It reveals an approach that suggests the task will be carried out particularly well and efficiently."</w:t>
      </w:r>
    </w:p>
    <w:p w14:paraId="4DA34BC3" w14:textId="77777777" w:rsidR="003D4DF5" w:rsidRPr="00341DFF" w:rsidRDefault="003D4DF5" w:rsidP="003D4DF5">
      <w:pPr>
        <w:pStyle w:val="Listenabsatz"/>
        <w:spacing w:after="240"/>
        <w:jc w:val="both"/>
        <w:rPr>
          <w:rFonts w:cs="Arial"/>
        </w:rPr>
      </w:pPr>
    </w:p>
    <w:p w14:paraId="4A9A331B" w14:textId="7EF1D7BE" w:rsidR="00D24F94" w:rsidRPr="00341DFF" w:rsidRDefault="00D24F94" w:rsidP="00D24F94">
      <w:pPr>
        <w:pStyle w:val="Listenabsatz"/>
        <w:spacing w:after="240"/>
        <w:jc w:val="both"/>
        <w:rPr>
          <w:rFonts w:cs="Arial"/>
          <w:b/>
          <w:bCs/>
        </w:rPr>
      </w:pPr>
      <w:r w:rsidRPr="00341DFF">
        <w:rPr>
          <w:rFonts w:cs="Arial"/>
          <w:b/>
          <w:bCs/>
        </w:rPr>
        <w:t xml:space="preserve">2. </w:t>
      </w:r>
      <w:r w:rsidR="003D4DF5" w:rsidRPr="003D4DF5">
        <w:rPr>
          <w:rFonts w:cs="Arial"/>
          <w:b/>
          <w:bCs/>
        </w:rPr>
        <w:t>Strategy for ensuring cryogenic performance</w:t>
      </w:r>
    </w:p>
    <w:p w14:paraId="675C8964" w14:textId="77777777" w:rsidR="003D4DF5" w:rsidRPr="003D4DF5" w:rsidRDefault="003D4DF5" w:rsidP="003D4DF5">
      <w:pPr>
        <w:spacing w:after="0" w:line="240" w:lineRule="auto"/>
        <w:jc w:val="both"/>
        <w:rPr>
          <w:rFonts w:ascii="Calibri" w:eastAsia="Times New Roman" w:hAnsi="Calibri" w:cs="Calibri"/>
          <w:color w:val="000000"/>
          <w:sz w:val="22"/>
          <w:lang w:eastAsia="zh-CN"/>
        </w:rPr>
      </w:pPr>
      <w:r w:rsidRPr="003D4DF5">
        <w:rPr>
          <w:rFonts w:ascii="Calibri" w:eastAsia="Times New Roman" w:hAnsi="Calibri" w:cs="Calibri"/>
          <w:color w:val="000000"/>
          <w:sz w:val="22"/>
          <w:lang w:eastAsia="zh-CN"/>
        </w:rPr>
        <w:t>The bidder shall describe their strategy and quality assurance measures to guarantee performance under cryogenic conditions. The evaluation focuses on the thoroughness, technical maturity, and risk-reduction potential of the proposed measures. Concepts that demonstrate a systematic approach to cryogenic reliability will be rated higher.</w:t>
      </w:r>
    </w:p>
    <w:p w14:paraId="4C1DA3B4" w14:textId="281E018A" w:rsidR="00D24F94" w:rsidRPr="00341DFF" w:rsidRDefault="00D24F94" w:rsidP="00D24F94">
      <w:pPr>
        <w:pStyle w:val="Listenabsatz"/>
        <w:spacing w:after="240"/>
        <w:jc w:val="both"/>
        <w:rPr>
          <w:rFonts w:cs="Arial"/>
        </w:rPr>
      </w:pPr>
    </w:p>
    <w:p w14:paraId="6877778B" w14:textId="526D4133" w:rsidR="00D24F94" w:rsidRPr="00341DFF" w:rsidRDefault="00D24F94" w:rsidP="00D24F94">
      <w:pPr>
        <w:spacing w:after="0" w:line="240" w:lineRule="auto"/>
        <w:jc w:val="both"/>
        <w:rPr>
          <w:rFonts w:ascii="Calibri" w:eastAsia="Times New Roman" w:hAnsi="Calibri" w:cs="Calibri"/>
          <w:b/>
          <w:bCs/>
          <w:color w:val="000000"/>
          <w:sz w:val="22"/>
          <w:lang w:eastAsia="zh-CN"/>
        </w:rPr>
      </w:pPr>
      <w:r w:rsidRPr="00341DFF">
        <w:rPr>
          <w:rFonts w:cs="Arial"/>
          <w:b/>
          <w:bCs/>
        </w:rPr>
        <w:t xml:space="preserve">3. </w:t>
      </w:r>
      <w:r w:rsidR="003D4DF5" w:rsidRPr="003D4DF5">
        <w:rPr>
          <w:rFonts w:ascii="Calibri" w:eastAsia="Times New Roman" w:hAnsi="Calibri" w:cs="Calibri"/>
          <w:b/>
          <w:bCs/>
          <w:color w:val="000000"/>
          <w:sz w:val="22"/>
          <w:lang w:eastAsia="zh-CN"/>
        </w:rPr>
        <w:t>Project schedule, core team and resource availability</w:t>
      </w:r>
    </w:p>
    <w:p w14:paraId="50E8384A" w14:textId="7CA77DD6" w:rsidR="003D4DF5" w:rsidRPr="003D4DF5" w:rsidRDefault="003D4DF5" w:rsidP="003D4DF5">
      <w:pPr>
        <w:spacing w:after="0" w:line="240" w:lineRule="auto"/>
        <w:jc w:val="both"/>
        <w:rPr>
          <w:rFonts w:ascii="Calibri" w:eastAsia="Times New Roman" w:hAnsi="Calibri" w:cs="Calibri"/>
          <w:color w:val="000000"/>
          <w:sz w:val="22"/>
          <w:lang w:eastAsia="zh-CN"/>
        </w:rPr>
      </w:pPr>
      <w:r w:rsidRPr="003D4DF5">
        <w:rPr>
          <w:rFonts w:ascii="Calibri" w:eastAsia="Times New Roman" w:hAnsi="Calibri" w:cs="Calibri"/>
          <w:color w:val="000000"/>
          <w:sz w:val="22"/>
          <w:lang w:eastAsia="zh-CN"/>
        </w:rPr>
        <w:t xml:space="preserve">The bidder shall present the core project team, specifying roles and responsibilities and summarizing relevant experience of key persons, including sub-contractors. The bidder shall demonstrate current operational capacity and clearly indicate the planned availability of key personnel and manufacturing facilities for the duration </w:t>
      </w:r>
      <w:r w:rsidRPr="003D4DF5">
        <w:rPr>
          <w:rFonts w:ascii="Calibri" w:eastAsia="Times New Roman" w:hAnsi="Calibri" w:cs="Calibri"/>
          <w:color w:val="000000"/>
          <w:sz w:val="22"/>
          <w:lang w:eastAsia="zh-CN"/>
        </w:rPr>
        <w:lastRenderedPageBreak/>
        <w:t>of the project. The bidder shall provide an overall project execution schedule covering design, manufacture, assembly, FAT, delivery and installation</w:t>
      </w:r>
      <w:r w:rsidR="001A3C07">
        <w:rPr>
          <w:rFonts w:ascii="Calibri" w:eastAsia="Times New Roman" w:hAnsi="Calibri" w:cs="Calibri"/>
          <w:color w:val="000000"/>
          <w:sz w:val="22"/>
          <w:lang w:eastAsia="zh-CN"/>
        </w:rPr>
        <w:t xml:space="preserve"> on test-bench</w:t>
      </w:r>
      <w:r w:rsidRPr="003D4DF5">
        <w:rPr>
          <w:rFonts w:ascii="Calibri" w:eastAsia="Times New Roman" w:hAnsi="Calibri" w:cs="Calibri"/>
          <w:color w:val="000000"/>
          <w:sz w:val="22"/>
          <w:lang w:eastAsia="zh-CN"/>
        </w:rPr>
        <w:t>, with key milestones and durations, and shall describe concrete measures for managing technical, schedule and interface risks throughout the project. The evaluation focuses on the realism and transparency of the project schedule, the adequacy of the proposed team, and  the credibility of the demonstrated resource availability. Project plans that combine a shorter overall project duration with clearly justified resource planning and concrete measures for managing technical, schedule and interface risks will be rated higher than plans whose shorter durations are achieved solely by compressing activities without justification.</w:t>
      </w:r>
    </w:p>
    <w:p w14:paraId="573B6489" w14:textId="1E817CED" w:rsidR="00365E58" w:rsidRPr="00341DFF" w:rsidRDefault="00365E58" w:rsidP="007B3FB7">
      <w:pPr>
        <w:pStyle w:val="Listenabsatz"/>
        <w:spacing w:after="240"/>
        <w:contextualSpacing w:val="0"/>
        <w:jc w:val="both"/>
        <w:rPr>
          <w:rFonts w:cs="Arial"/>
          <w:b/>
          <w:bCs/>
          <w:highlight w:val="yellow"/>
        </w:rPr>
      </w:pPr>
    </w:p>
    <w:p w14:paraId="42C65D5F" w14:textId="4EF8EC50" w:rsidR="00341DFF" w:rsidRPr="00341DFF" w:rsidRDefault="00341DFF" w:rsidP="00341DFF">
      <w:pPr>
        <w:spacing w:after="0" w:line="240" w:lineRule="auto"/>
        <w:jc w:val="both"/>
        <w:rPr>
          <w:rFonts w:ascii="Calibri" w:eastAsia="Times New Roman" w:hAnsi="Calibri" w:cs="Arial"/>
          <w:b/>
          <w:bCs/>
          <w:sz w:val="22"/>
        </w:rPr>
      </w:pPr>
      <w:r w:rsidRPr="00341DFF">
        <w:rPr>
          <w:rFonts w:ascii="Calibri" w:eastAsia="Times New Roman" w:hAnsi="Calibri" w:cs="Arial"/>
          <w:b/>
          <w:bCs/>
          <w:sz w:val="22"/>
        </w:rPr>
        <w:t>4. General QA Concept</w:t>
      </w:r>
    </w:p>
    <w:p w14:paraId="011BF906" w14:textId="77777777" w:rsidR="003D4DF5" w:rsidRPr="003D4DF5" w:rsidRDefault="003D4DF5" w:rsidP="003D4DF5">
      <w:pPr>
        <w:pStyle w:val="Listenabsatz"/>
        <w:jc w:val="both"/>
        <w:rPr>
          <w:rFonts w:cs="Arial"/>
        </w:rPr>
      </w:pPr>
      <w:r w:rsidRPr="003D4DF5">
        <w:rPr>
          <w:rFonts w:cs="Arial"/>
        </w:rPr>
        <w:t>"The bidder shall provide a QA/QC plan covering the entire contract scope, including the design phase, document and process control, FAT/test plan, and delivery. The service concept in case of disfunctions or breakdowns of the equipment after installation shall also be described. Specific QA for manufacturing, welding, surface cleanliness, and vacuum are addressed separately under the corresponding criteria.</w:t>
      </w:r>
    </w:p>
    <w:p w14:paraId="5E97E6F3" w14:textId="77777777" w:rsidR="003D4DF5" w:rsidRDefault="003D4DF5" w:rsidP="003D4DF5">
      <w:pPr>
        <w:pStyle w:val="Listenabsatz"/>
        <w:spacing w:after="240"/>
        <w:contextualSpacing w:val="0"/>
        <w:jc w:val="both"/>
        <w:rPr>
          <w:rFonts w:cs="Arial"/>
          <w:b/>
          <w:bCs/>
        </w:rPr>
      </w:pPr>
      <w:r w:rsidRPr="003D4DF5">
        <w:rPr>
          <w:rFonts w:cs="Arial"/>
        </w:rPr>
        <w:t>The completeness, level of detail and plausibility of the information provided are evaluated. A high rated concept is clear, coherent, and well-reasoned. It reveals an approach that suggests the task will be carried out particularly well and efficiently."</w:t>
      </w:r>
      <w:r w:rsidR="00D24F94" w:rsidRPr="00341DFF">
        <w:rPr>
          <w:rFonts w:cs="Arial"/>
          <w:b/>
          <w:bCs/>
        </w:rPr>
        <w:t xml:space="preserve"> </w:t>
      </w:r>
    </w:p>
    <w:p w14:paraId="616CB768" w14:textId="77777777" w:rsidR="003D4DF5" w:rsidRDefault="00341DFF" w:rsidP="007B3FB7">
      <w:pPr>
        <w:pStyle w:val="Listenabsatz"/>
        <w:spacing w:after="240"/>
        <w:contextualSpacing w:val="0"/>
        <w:jc w:val="both"/>
        <w:rPr>
          <w:rFonts w:cs="Arial"/>
          <w:b/>
          <w:bCs/>
        </w:rPr>
      </w:pPr>
      <w:r w:rsidRPr="00341DFF">
        <w:rPr>
          <w:rFonts w:cs="Arial"/>
          <w:b/>
          <w:bCs/>
        </w:rPr>
        <w:t xml:space="preserve">5. </w:t>
      </w:r>
      <w:r w:rsidR="003D4DF5" w:rsidRPr="003D4DF5">
        <w:rPr>
          <w:rFonts w:cs="Arial"/>
          <w:b/>
          <w:bCs/>
        </w:rPr>
        <w:t>Manufacturing and welding QA</w:t>
      </w:r>
    </w:p>
    <w:p w14:paraId="636C348C" w14:textId="4928C626" w:rsidR="003D4DF5" w:rsidRDefault="003D4DF5" w:rsidP="003D4DF5">
      <w:pPr>
        <w:spacing w:after="0" w:line="240" w:lineRule="auto"/>
        <w:jc w:val="both"/>
        <w:rPr>
          <w:rFonts w:ascii="Calibri" w:eastAsia="Times New Roman" w:hAnsi="Calibri" w:cs="Calibri"/>
          <w:color w:val="000000"/>
          <w:sz w:val="22"/>
          <w:lang w:eastAsia="zh-CN"/>
        </w:rPr>
      </w:pPr>
      <w:r w:rsidRPr="003D4DF5">
        <w:rPr>
          <w:rFonts w:ascii="Calibri" w:eastAsia="Times New Roman" w:hAnsi="Calibri" w:cs="Calibri"/>
          <w:color w:val="000000"/>
          <w:sz w:val="22"/>
          <w:lang w:eastAsia="zh-CN"/>
        </w:rPr>
        <w:t>The bidder shall describe the planned manufacturing route and welding concept for the vacuum chambers, frames and associated components, including workshop capabilities, welding procedures and welder qualifications. If any part of the manufacturing or welding is to be subcontracted, the bidder must specify this and provide the corresponding capabilities, procedures, and certifications for all involved subcontractors. The concept shall explain how the bidder will comply with the specified materials, weld quality classes, and the avoidance of trapped volumes and virtual leaks. The evaluation focuses on the maturity and reliability of the proposed manufacturing processes, and on how convincingly the bidder demonstrates that the required weld quality can be achieved reproducibly. Bidders with well</w:t>
      </w:r>
      <w:r w:rsidRPr="003D4DF5">
        <w:rPr>
          <w:rFonts w:ascii="Calibri" w:eastAsia="Times New Roman" w:hAnsi="Calibri" w:cs="Calibri"/>
          <w:color w:val="000000"/>
          <w:sz w:val="22"/>
          <w:lang w:eastAsia="zh-CN"/>
        </w:rPr>
        <w:noBreakHyphen/>
        <w:t>documented procedures, certified welders and a clear inspection and rework strategy will be rated higher.</w:t>
      </w:r>
    </w:p>
    <w:p w14:paraId="3C467586" w14:textId="77777777" w:rsidR="003D4DF5" w:rsidRPr="003D4DF5" w:rsidRDefault="003D4DF5" w:rsidP="003D4DF5">
      <w:pPr>
        <w:spacing w:after="0" w:line="240" w:lineRule="auto"/>
        <w:jc w:val="both"/>
        <w:rPr>
          <w:rFonts w:ascii="Calibri" w:eastAsia="Times New Roman" w:hAnsi="Calibri" w:cs="Calibri"/>
          <w:color w:val="000000"/>
          <w:sz w:val="22"/>
          <w:lang w:eastAsia="zh-CN"/>
        </w:rPr>
      </w:pPr>
    </w:p>
    <w:p w14:paraId="4DAD128E" w14:textId="77777777" w:rsidR="003D4DF5" w:rsidRDefault="00341DFF" w:rsidP="00341DFF">
      <w:pPr>
        <w:spacing w:after="0" w:line="240" w:lineRule="auto"/>
        <w:jc w:val="both"/>
        <w:rPr>
          <w:rFonts w:ascii="Calibri" w:eastAsia="Times New Roman" w:hAnsi="Calibri" w:cs="Calibri"/>
          <w:b/>
          <w:bCs/>
          <w:color w:val="000000"/>
          <w:sz w:val="22"/>
          <w:lang w:eastAsia="zh-CN"/>
        </w:rPr>
      </w:pPr>
      <w:r w:rsidRPr="00341DFF">
        <w:rPr>
          <w:rFonts w:cs="Arial"/>
          <w:b/>
          <w:bCs/>
          <w:lang w:val="en-US"/>
        </w:rPr>
        <w:t xml:space="preserve">6. </w:t>
      </w:r>
      <w:r w:rsidR="003D4DF5" w:rsidRPr="003D4DF5">
        <w:rPr>
          <w:rFonts w:ascii="Calibri" w:eastAsia="Times New Roman" w:hAnsi="Calibri" w:cs="Calibri"/>
          <w:b/>
          <w:bCs/>
          <w:color w:val="000000"/>
          <w:sz w:val="22"/>
          <w:lang w:eastAsia="zh-CN"/>
        </w:rPr>
        <w:t>Cleanliness, surface treatment and vacuum QA</w:t>
      </w:r>
    </w:p>
    <w:p w14:paraId="5447A141" w14:textId="77777777" w:rsidR="003D4DF5" w:rsidRPr="003D4DF5" w:rsidRDefault="003D4DF5" w:rsidP="003D4DF5">
      <w:pPr>
        <w:spacing w:after="0" w:line="240" w:lineRule="auto"/>
        <w:jc w:val="both"/>
        <w:rPr>
          <w:rFonts w:ascii="Calibri" w:eastAsia="Times New Roman" w:hAnsi="Calibri" w:cs="Calibri"/>
          <w:color w:val="000000"/>
          <w:sz w:val="22"/>
          <w:lang w:eastAsia="zh-CN"/>
        </w:rPr>
      </w:pPr>
      <w:r w:rsidRPr="003D4DF5">
        <w:rPr>
          <w:rFonts w:ascii="Calibri" w:eastAsia="Times New Roman" w:hAnsi="Calibri" w:cs="Calibri"/>
          <w:color w:val="000000"/>
          <w:sz w:val="22"/>
          <w:lang w:eastAsia="zh-CN"/>
        </w:rPr>
        <w:t xml:space="preserve">The bidder shall describe the surface treatment and cleaning procedures for the internal surfaces of the cold stopping and extraction chambers, including electropolishing or mechanical polishing. The bidder shall also present the vacuum test concept. The evaluation focuses on whether the proposed procedures are suitable to achieve the specified leak rates and cleanliness levels. Concepts that specify </w:t>
      </w:r>
      <w:r w:rsidRPr="003D4DF5">
        <w:rPr>
          <w:rFonts w:ascii="Calibri" w:eastAsia="Times New Roman" w:hAnsi="Calibri" w:cs="Calibri"/>
          <w:color w:val="000000"/>
          <w:sz w:val="22"/>
          <w:lang w:eastAsia="zh-CN"/>
        </w:rPr>
        <w:lastRenderedPageBreak/>
        <w:t>cleanliness and leak rates targets beyond the minimum requirements will be rated higher.</w:t>
      </w:r>
    </w:p>
    <w:p w14:paraId="76301033" w14:textId="0FD83B01" w:rsidR="00365E58" w:rsidRPr="00341DFF" w:rsidRDefault="00365E58" w:rsidP="007B3FB7">
      <w:pPr>
        <w:pStyle w:val="Listenabsatz"/>
        <w:spacing w:after="240"/>
        <w:contextualSpacing w:val="0"/>
        <w:jc w:val="both"/>
        <w:rPr>
          <w:rFonts w:cs="Arial"/>
          <w:highlight w:val="yellow"/>
          <w:lang w:val="en-US"/>
        </w:rPr>
      </w:pPr>
    </w:p>
    <w:p w14:paraId="6A60F34F" w14:textId="77777777" w:rsidR="007B3FB7" w:rsidRPr="003B4071" w:rsidRDefault="00A577C0" w:rsidP="007B3FB7">
      <w:pPr>
        <w:pStyle w:val="Listenabsatz"/>
        <w:keepNext/>
        <w:numPr>
          <w:ilvl w:val="0"/>
          <w:numId w:val="30"/>
        </w:numPr>
        <w:spacing w:after="240"/>
        <w:ind w:left="0" w:firstLine="0"/>
        <w:contextualSpacing w:val="0"/>
        <w:jc w:val="both"/>
        <w:rPr>
          <w:rFonts w:cs="Calibri"/>
          <w:b/>
          <w:bCs/>
        </w:rPr>
      </w:pPr>
      <w:r w:rsidRPr="003B4071">
        <w:rPr>
          <w:rFonts w:cs="Calibri"/>
          <w:b/>
          <w:bCs/>
        </w:rPr>
        <w:t>Alternative Bids, Section 35 VgV</w:t>
      </w:r>
    </w:p>
    <w:p w14:paraId="24631BBB" w14:textId="77777777" w:rsidR="00A577C0" w:rsidRPr="003B4071" w:rsidRDefault="00A577C0" w:rsidP="007B3FB7">
      <w:pPr>
        <w:tabs>
          <w:tab w:val="left" w:pos="3686"/>
        </w:tabs>
        <w:spacing w:line="276" w:lineRule="auto"/>
        <w:jc w:val="both"/>
        <w:rPr>
          <w:rFonts w:ascii="Calibri" w:hAnsi="Calibri" w:cs="Arial"/>
          <w:bCs/>
          <w:sz w:val="22"/>
        </w:rPr>
      </w:pPr>
      <w:r w:rsidRPr="003B4071">
        <w:rPr>
          <w:rFonts w:ascii="Calibri" w:hAnsi="Calibri" w:cs="Arial"/>
          <w:bCs/>
          <w:sz w:val="22"/>
        </w:rPr>
        <w:t>Alternative bids are not permitted.</w:t>
      </w:r>
    </w:p>
    <w:p w14:paraId="28643D8D" w14:textId="77777777" w:rsidR="00A577C0" w:rsidRPr="003B4071" w:rsidRDefault="0093052E" w:rsidP="007B3FB7">
      <w:pPr>
        <w:pStyle w:val="Listenabsatz"/>
        <w:keepNext/>
        <w:numPr>
          <w:ilvl w:val="0"/>
          <w:numId w:val="30"/>
        </w:numPr>
        <w:spacing w:after="240"/>
        <w:ind w:left="0" w:firstLine="0"/>
        <w:contextualSpacing w:val="0"/>
        <w:jc w:val="both"/>
        <w:rPr>
          <w:rFonts w:cs="Calibri"/>
          <w:b/>
          <w:bCs/>
        </w:rPr>
      </w:pPr>
      <w:r w:rsidRPr="003B4071">
        <w:rPr>
          <w:rFonts w:cs="Calibri"/>
          <w:b/>
          <w:bCs/>
        </w:rPr>
        <w:t>Explanatory Notes on the Bid</w:t>
      </w:r>
    </w:p>
    <w:p w14:paraId="189F5EC0" w14:textId="08C83D34" w:rsidR="003D4DF5" w:rsidRPr="003B4071" w:rsidRDefault="003D4DF5" w:rsidP="007B3FB7">
      <w:pPr>
        <w:tabs>
          <w:tab w:val="left" w:pos="3686"/>
          <w:tab w:val="left" w:pos="7057"/>
        </w:tabs>
        <w:spacing w:line="276" w:lineRule="auto"/>
        <w:ind w:right="-283"/>
        <w:jc w:val="both"/>
        <w:rPr>
          <w:rFonts w:ascii="Calibri" w:hAnsi="Calibri" w:cs="Calibri"/>
          <w:sz w:val="22"/>
        </w:rPr>
      </w:pPr>
      <w:r w:rsidRPr="003D4DF5">
        <w:rPr>
          <w:rFonts w:ascii="Calibri" w:hAnsi="Calibri" w:cs="Calibri"/>
          <w:sz w:val="22"/>
        </w:rPr>
        <w:t>Bidder submits the tender with a document attached that explains the total tender price and the technical data of the scope of supply and services offered in detail. The information required under technical specifications must be documented. All system components must be listed and described in detail.</w:t>
      </w:r>
    </w:p>
    <w:p w14:paraId="39A32B4D" w14:textId="77777777" w:rsidR="00A577C0" w:rsidRPr="003B4071" w:rsidRDefault="00A577C0" w:rsidP="007B3FB7">
      <w:pPr>
        <w:pStyle w:val="Listenabsatz"/>
        <w:keepNext/>
        <w:numPr>
          <w:ilvl w:val="0"/>
          <w:numId w:val="30"/>
        </w:numPr>
        <w:spacing w:after="240"/>
        <w:ind w:left="0" w:firstLine="0"/>
        <w:jc w:val="both"/>
        <w:rPr>
          <w:rFonts w:cs="Calibri"/>
          <w:b/>
          <w:bCs/>
        </w:rPr>
      </w:pPr>
      <w:r w:rsidRPr="003B4071">
        <w:rPr>
          <w:rFonts w:cs="Calibri"/>
          <w:b/>
          <w:bCs/>
        </w:rPr>
        <w:t>Industrial Property Rights, Section 53(8) VgV</w:t>
      </w:r>
    </w:p>
    <w:p w14:paraId="43C0EC55" w14:textId="7C570F7F" w:rsidR="00A577C0" w:rsidRPr="003B4071" w:rsidRDefault="003D4DF5" w:rsidP="007B3FB7">
      <w:pPr>
        <w:tabs>
          <w:tab w:val="left" w:pos="3686"/>
        </w:tabs>
        <w:spacing w:line="276" w:lineRule="auto"/>
        <w:contextualSpacing/>
        <w:jc w:val="both"/>
        <w:rPr>
          <w:rFonts w:ascii="Calibri" w:hAnsi="Calibri" w:cs="Arial"/>
          <w:sz w:val="22"/>
        </w:rPr>
      </w:pPr>
      <w:r w:rsidRPr="003D4DF5">
        <w:rPr>
          <w:rFonts w:ascii="Calibri" w:hAnsi="Calibri" w:cs="Arial"/>
          <w:sz w:val="22"/>
        </w:rPr>
        <w:t>If industrial property rights exist for and apply to the subject of the tender or have been applied for by Bidder or others, this must be stated under Explanatory Notes on the Tender. If Bidder is considering making information from their tender the subject of an application for an industrial property right, this must be clearly stated under Explanatory Notes on the Tender.</w:t>
      </w:r>
    </w:p>
    <w:p w14:paraId="2726CCD6" w14:textId="7E87EF93" w:rsidR="00D15F09" w:rsidRPr="003B4071" w:rsidRDefault="003D4DF5" w:rsidP="00D15F09">
      <w:pPr>
        <w:pStyle w:val="Listenabsatz"/>
        <w:keepNext/>
        <w:numPr>
          <w:ilvl w:val="0"/>
          <w:numId w:val="30"/>
        </w:numPr>
        <w:spacing w:after="240"/>
        <w:ind w:left="0" w:firstLine="0"/>
        <w:contextualSpacing w:val="0"/>
        <w:jc w:val="both"/>
        <w:rPr>
          <w:rFonts w:cs="Calibri"/>
          <w:b/>
          <w:bCs/>
        </w:rPr>
      </w:pPr>
      <w:r w:rsidRPr="00525946">
        <w:rPr>
          <w:rFonts w:cs="Arial"/>
          <w:b/>
          <w:lang w:val="en-US"/>
        </w:rPr>
        <w:t>Notice for economic operators from third countries (Non-EU) that have not concluded an international agreement with the EU in the field of public procurement.</w:t>
      </w:r>
    </w:p>
    <w:p w14:paraId="23EA31FE" w14:textId="77777777" w:rsidR="003D4DF5" w:rsidRPr="003D4DF5" w:rsidRDefault="003D4DF5" w:rsidP="00D15F09">
      <w:pPr>
        <w:pStyle w:val="Listenabsatz"/>
        <w:keepNext/>
        <w:numPr>
          <w:ilvl w:val="0"/>
          <w:numId w:val="30"/>
        </w:numPr>
        <w:spacing w:after="240"/>
        <w:ind w:left="0" w:firstLine="0"/>
        <w:contextualSpacing w:val="0"/>
        <w:jc w:val="both"/>
        <w:rPr>
          <w:rFonts w:cs="Calibri"/>
          <w:b/>
          <w:bCs/>
        </w:rPr>
      </w:pPr>
      <w:r w:rsidRPr="003D4DF5">
        <w:rPr>
          <w:rFonts w:eastAsiaTheme="minorHAnsi" w:cs="Arial"/>
        </w:rPr>
        <w:t xml:space="preserve">The contracting authority reserves the right to exclude economic operators from third countries that have not concluded an international agreement with the EU in the field of public procurement at any time during the procedure – even without stating reasons. This also includes bidding consortiums in which at least one such economic operator is involved. However, it does not apply to cases in which such an economic operator is planned only as a subcontractor. </w:t>
      </w:r>
    </w:p>
    <w:p w14:paraId="36A5E7A3" w14:textId="2940542E" w:rsidR="00A577C0" w:rsidRPr="003B4071" w:rsidRDefault="00A577C0" w:rsidP="00D15F09">
      <w:pPr>
        <w:pStyle w:val="Listenabsatz"/>
        <w:keepNext/>
        <w:numPr>
          <w:ilvl w:val="0"/>
          <w:numId w:val="30"/>
        </w:numPr>
        <w:spacing w:after="240"/>
        <w:ind w:left="0" w:firstLine="0"/>
        <w:contextualSpacing w:val="0"/>
        <w:jc w:val="both"/>
        <w:rPr>
          <w:rFonts w:cs="Calibri"/>
          <w:b/>
          <w:bCs/>
        </w:rPr>
      </w:pPr>
      <w:r w:rsidRPr="003B4071">
        <w:rPr>
          <w:rFonts w:cs="Calibri"/>
          <w:b/>
          <w:bCs/>
        </w:rPr>
        <w:t>Competent Authority for Appeals, Other Information</w:t>
      </w:r>
    </w:p>
    <w:p w14:paraId="718B8E1E" w14:textId="77777777" w:rsidR="003D4DF5" w:rsidRPr="003D4DF5" w:rsidRDefault="003D4DF5" w:rsidP="003D4DF5">
      <w:pPr>
        <w:tabs>
          <w:tab w:val="left" w:pos="3686"/>
        </w:tabs>
        <w:spacing w:line="276" w:lineRule="auto"/>
        <w:jc w:val="both"/>
        <w:rPr>
          <w:rFonts w:ascii="Calibri" w:hAnsi="Calibri" w:cs="Arial"/>
          <w:sz w:val="22"/>
        </w:rPr>
      </w:pPr>
      <w:r w:rsidRPr="003D4DF5">
        <w:rPr>
          <w:rFonts w:ascii="Calibri" w:hAnsi="Calibri" w:cs="Arial"/>
          <w:sz w:val="22"/>
        </w:rPr>
        <w:t>The competent reviewing authority is</w:t>
      </w:r>
    </w:p>
    <w:p w14:paraId="11D81B53" w14:textId="77777777" w:rsidR="003D4DF5" w:rsidRPr="003D4DF5" w:rsidRDefault="003D4DF5" w:rsidP="003D4DF5">
      <w:pPr>
        <w:tabs>
          <w:tab w:val="left" w:pos="3686"/>
        </w:tabs>
        <w:spacing w:line="276" w:lineRule="auto"/>
        <w:jc w:val="both"/>
        <w:rPr>
          <w:rFonts w:ascii="Calibri" w:hAnsi="Calibri" w:cs="Arial"/>
          <w:sz w:val="22"/>
        </w:rPr>
      </w:pPr>
      <w:r w:rsidRPr="003D4DF5">
        <w:rPr>
          <w:rFonts w:ascii="Calibri" w:hAnsi="Calibri" w:cs="Arial"/>
          <w:sz w:val="22"/>
        </w:rPr>
        <w:t>Vergabekammer des Bundes [transl.: Federal Public Procurement Tribunal]</w:t>
      </w:r>
    </w:p>
    <w:p w14:paraId="2A9CED89" w14:textId="77777777" w:rsidR="003D4DF5" w:rsidRPr="003D4DF5" w:rsidRDefault="003D4DF5" w:rsidP="003D4DF5">
      <w:pPr>
        <w:tabs>
          <w:tab w:val="left" w:pos="3686"/>
        </w:tabs>
        <w:spacing w:line="276" w:lineRule="auto"/>
        <w:jc w:val="both"/>
        <w:rPr>
          <w:rFonts w:ascii="Calibri" w:hAnsi="Calibri" w:cs="Arial"/>
          <w:sz w:val="22"/>
        </w:rPr>
      </w:pPr>
      <w:r w:rsidRPr="003D4DF5">
        <w:rPr>
          <w:rFonts w:ascii="Calibri" w:hAnsi="Calibri" w:cs="Arial"/>
          <w:sz w:val="22"/>
        </w:rPr>
        <w:t>Villemombler Straße 76</w:t>
      </w:r>
    </w:p>
    <w:p w14:paraId="615164F4" w14:textId="77777777" w:rsidR="003D4DF5" w:rsidRPr="003D4DF5" w:rsidRDefault="003D4DF5" w:rsidP="003D4DF5">
      <w:pPr>
        <w:tabs>
          <w:tab w:val="left" w:pos="3686"/>
        </w:tabs>
        <w:spacing w:line="276" w:lineRule="auto"/>
        <w:jc w:val="both"/>
        <w:rPr>
          <w:rFonts w:ascii="Calibri" w:hAnsi="Calibri" w:cs="Arial"/>
          <w:sz w:val="22"/>
        </w:rPr>
      </w:pPr>
      <w:r w:rsidRPr="003D4DF5">
        <w:rPr>
          <w:rFonts w:ascii="Calibri" w:hAnsi="Calibri" w:cs="Arial"/>
          <w:sz w:val="22"/>
        </w:rPr>
        <w:t>53123 Bonn</w:t>
      </w:r>
    </w:p>
    <w:p w14:paraId="0A9AC9B9" w14:textId="77777777" w:rsidR="003D4DF5" w:rsidRPr="003D4DF5" w:rsidRDefault="003D4DF5" w:rsidP="003D4DF5">
      <w:pPr>
        <w:tabs>
          <w:tab w:val="left" w:pos="3686"/>
        </w:tabs>
        <w:spacing w:line="276" w:lineRule="auto"/>
        <w:jc w:val="both"/>
        <w:rPr>
          <w:rFonts w:ascii="Calibri" w:hAnsi="Calibri" w:cs="Arial"/>
          <w:sz w:val="22"/>
        </w:rPr>
      </w:pPr>
      <w:r w:rsidRPr="003D4DF5">
        <w:rPr>
          <w:rFonts w:ascii="Calibri" w:hAnsi="Calibri" w:cs="Arial"/>
          <w:sz w:val="22"/>
        </w:rPr>
        <w:lastRenderedPageBreak/>
        <w:t>Tel.: 0228 9499-0</w:t>
      </w:r>
    </w:p>
    <w:p w14:paraId="6F3972F4" w14:textId="77777777" w:rsidR="003D4DF5" w:rsidRPr="003D4DF5" w:rsidRDefault="003D4DF5" w:rsidP="003D4DF5">
      <w:pPr>
        <w:tabs>
          <w:tab w:val="left" w:pos="3686"/>
        </w:tabs>
        <w:spacing w:line="276" w:lineRule="auto"/>
        <w:jc w:val="both"/>
        <w:rPr>
          <w:rFonts w:ascii="Calibri" w:hAnsi="Calibri" w:cs="Arial"/>
          <w:sz w:val="22"/>
        </w:rPr>
      </w:pPr>
      <w:r w:rsidRPr="003D4DF5">
        <w:rPr>
          <w:rFonts w:ascii="Calibri" w:hAnsi="Calibri" w:cs="Arial"/>
          <w:sz w:val="22"/>
        </w:rPr>
        <w:t>Fax: 0228 9499-163</w:t>
      </w:r>
    </w:p>
    <w:p w14:paraId="09FBF60D" w14:textId="77777777" w:rsidR="003D4DF5" w:rsidRPr="003D4DF5" w:rsidRDefault="003D4DF5" w:rsidP="003D4DF5">
      <w:pPr>
        <w:tabs>
          <w:tab w:val="left" w:pos="3686"/>
        </w:tabs>
        <w:spacing w:line="276" w:lineRule="auto"/>
        <w:jc w:val="both"/>
        <w:rPr>
          <w:rFonts w:ascii="Calibri" w:hAnsi="Calibri" w:cs="Arial"/>
          <w:sz w:val="22"/>
        </w:rPr>
      </w:pPr>
      <w:r w:rsidRPr="003D4DF5">
        <w:rPr>
          <w:rFonts w:ascii="Calibri" w:hAnsi="Calibri" w:cs="Arial"/>
          <w:sz w:val="22"/>
        </w:rPr>
        <w:t xml:space="preserve">Email: vk@bundeskartellamt.bund.de </w:t>
      </w:r>
    </w:p>
    <w:p w14:paraId="221B0A7F" w14:textId="77777777" w:rsidR="003D4DF5" w:rsidRPr="003D4DF5" w:rsidRDefault="003D4DF5" w:rsidP="003D4DF5">
      <w:pPr>
        <w:tabs>
          <w:tab w:val="left" w:pos="3686"/>
        </w:tabs>
        <w:spacing w:line="276" w:lineRule="auto"/>
        <w:jc w:val="both"/>
        <w:rPr>
          <w:rFonts w:ascii="Calibri" w:hAnsi="Calibri" w:cs="Arial"/>
          <w:sz w:val="22"/>
        </w:rPr>
      </w:pPr>
      <w:r w:rsidRPr="003D4DF5">
        <w:rPr>
          <w:rFonts w:ascii="Calibri" w:hAnsi="Calibri" w:cs="Arial"/>
          <w:sz w:val="22"/>
        </w:rPr>
        <w:t>Website: http://www.bundeskartellamt.de/SharedDocs/Kontaktdaten/DE/Vergabekammern.html</w:t>
      </w:r>
    </w:p>
    <w:p w14:paraId="026E5F57" w14:textId="77777777" w:rsidR="003D4DF5" w:rsidRPr="003D4DF5" w:rsidRDefault="003D4DF5" w:rsidP="003D4DF5">
      <w:pPr>
        <w:tabs>
          <w:tab w:val="left" w:pos="3686"/>
        </w:tabs>
        <w:spacing w:line="276" w:lineRule="auto"/>
        <w:jc w:val="both"/>
        <w:rPr>
          <w:rFonts w:ascii="Calibri" w:hAnsi="Calibri" w:cs="Arial"/>
          <w:sz w:val="22"/>
        </w:rPr>
      </w:pPr>
      <w:r w:rsidRPr="003D4DF5">
        <w:rPr>
          <w:rFonts w:ascii="Calibri" w:hAnsi="Calibri" w:cs="Arial"/>
          <w:sz w:val="22"/>
        </w:rPr>
        <w:t>Candidate/ Bidder is requested to clearly identify those sections of the tender that contain a trade or business secret. If Bidder fails to do so, the Public Procurement Tribunal may, in the case of a review procedure, assume that Bidder has agreed to have these documents inspected (§165 para. 3 GWB). As Awarding Authority, GSI is obliged to make the tender file available to the Public Procurement Tribunal imme-diately when initiating a review procedure (§ 163 para. 2 cl. 3 GWB).</w:t>
      </w:r>
    </w:p>
    <w:p w14:paraId="5F4C3EBB" w14:textId="77777777" w:rsidR="003D4DF5" w:rsidRPr="003D4DF5" w:rsidRDefault="003D4DF5" w:rsidP="003D4DF5">
      <w:pPr>
        <w:tabs>
          <w:tab w:val="left" w:pos="3686"/>
        </w:tabs>
        <w:spacing w:line="276" w:lineRule="auto"/>
        <w:jc w:val="both"/>
        <w:rPr>
          <w:rFonts w:ascii="Calibri" w:hAnsi="Calibri" w:cs="Arial"/>
          <w:sz w:val="22"/>
        </w:rPr>
      </w:pPr>
      <w:r w:rsidRPr="003D4DF5">
        <w:rPr>
          <w:rFonts w:ascii="Calibri" w:hAnsi="Calibri" w:cs="Arial"/>
          <w:sz w:val="22"/>
        </w:rPr>
        <w:t>Candidates/ Bidders have a right to expect the contracting authority's compliance with the Bidder-protecting provisions re: the tender procedure (§ 97 para. 6 GWB). If Candidate/ Bidder interested in the contract considers that Bidder's rights have been infringed through failure to comply with award regulations, the infringement must be reported to GSI within ten calendar days (§ 160 para. 3 cl. 1 no. 1 GWB).</w:t>
      </w:r>
    </w:p>
    <w:p w14:paraId="0B0F79A2" w14:textId="77777777" w:rsidR="003D4DF5" w:rsidRPr="003D4DF5" w:rsidRDefault="003D4DF5" w:rsidP="003D4DF5">
      <w:pPr>
        <w:tabs>
          <w:tab w:val="left" w:pos="3686"/>
        </w:tabs>
        <w:spacing w:line="276" w:lineRule="auto"/>
        <w:jc w:val="both"/>
        <w:rPr>
          <w:rFonts w:ascii="Calibri" w:hAnsi="Calibri" w:cs="Arial"/>
          <w:sz w:val="22"/>
        </w:rPr>
      </w:pPr>
      <w:r w:rsidRPr="003D4DF5">
        <w:rPr>
          <w:rFonts w:ascii="Calibri" w:hAnsi="Calibri" w:cs="Arial"/>
          <w:sz w:val="22"/>
        </w:rPr>
        <w:t>Infringements identifiable on the basis of the announcement or the award docu-ments must be asserted against GSI within the deadline for submission of tenders specified in the announcement (§ 160 para. 3 cl. 1 nr. 2 - 3 GWB).</w:t>
      </w:r>
    </w:p>
    <w:p w14:paraId="6BBA0355" w14:textId="77777777" w:rsidR="003D4DF5" w:rsidRPr="003D4DF5" w:rsidRDefault="003D4DF5" w:rsidP="003D4DF5">
      <w:pPr>
        <w:tabs>
          <w:tab w:val="left" w:pos="3686"/>
        </w:tabs>
        <w:spacing w:line="276" w:lineRule="auto"/>
        <w:jc w:val="both"/>
        <w:rPr>
          <w:rFonts w:ascii="Calibri" w:hAnsi="Calibri" w:cs="Arial"/>
          <w:sz w:val="22"/>
        </w:rPr>
      </w:pPr>
      <w:r w:rsidRPr="003D4DF5">
        <w:rPr>
          <w:rFonts w:ascii="Calibri" w:hAnsi="Calibri" w:cs="Arial"/>
          <w:sz w:val="22"/>
        </w:rPr>
        <w:t>If GSI informs Candidate/ Bidder that GSI is unwilling to redress its complaint, it is possible to file an appeal for review with the aforementioned Public Procurement Tribunal within 15 days of receipt of the notification (§ 160 para. 3 cl. 1 no. 4 GWB).</w:t>
      </w:r>
    </w:p>
    <w:p w14:paraId="5A1EB8A8" w14:textId="77777777" w:rsidR="003D4DF5" w:rsidRPr="003D4DF5" w:rsidRDefault="003D4DF5" w:rsidP="003D4DF5">
      <w:pPr>
        <w:tabs>
          <w:tab w:val="left" w:pos="3686"/>
        </w:tabs>
        <w:spacing w:line="276" w:lineRule="auto"/>
        <w:jc w:val="both"/>
        <w:rPr>
          <w:rFonts w:ascii="Calibri" w:hAnsi="Calibri" w:cs="Arial"/>
          <w:sz w:val="22"/>
        </w:rPr>
      </w:pPr>
      <w:r w:rsidRPr="003D4DF5">
        <w:rPr>
          <w:rFonts w:ascii="Calibri" w:hAnsi="Calibri" w:cs="Arial"/>
          <w:sz w:val="22"/>
        </w:rPr>
        <w:t>Bidders whose tenders are not to be considered for the award will be informed prior to the award according to § 134 GWB. A contract may only be concluded 15 calendar days after this information has been sent by GSI. In the case of transmis-sion by fax or electronic means, this period shall be ten calendar days. It commenc-es on the day after dispatch of the information by GSI. After this period has expired, a surcharge is possible, even if the deadline is not passed according to § 160 para. 3 GWB. An application for review would therefore have to be delivered to GSI by the Public Procurement Tribunal before the expiry of the deadline according to § 134 GWB in order to prevent a surcharge.</w:t>
      </w:r>
    </w:p>
    <w:p w14:paraId="679EEAB5" w14:textId="77777777" w:rsidR="003D4DF5" w:rsidRPr="003D4DF5" w:rsidRDefault="003D4DF5" w:rsidP="003D4DF5">
      <w:pPr>
        <w:tabs>
          <w:tab w:val="left" w:pos="3686"/>
        </w:tabs>
        <w:spacing w:line="276" w:lineRule="auto"/>
        <w:jc w:val="both"/>
        <w:rPr>
          <w:rFonts w:ascii="Calibri" w:hAnsi="Calibri" w:cs="Arial"/>
          <w:sz w:val="22"/>
        </w:rPr>
      </w:pPr>
      <w:r w:rsidRPr="003D4DF5">
        <w:rPr>
          <w:rFonts w:ascii="Calibri" w:hAnsi="Calibri" w:cs="Arial"/>
          <w:sz w:val="22"/>
        </w:rPr>
        <w:t>According to § 135 para. 1 and 2 GWB, the ineffectiveness of a commission can only be established if it has been asserted in the review procedure within 30 calen-</w:t>
      </w:r>
      <w:r w:rsidRPr="003D4DF5">
        <w:rPr>
          <w:rFonts w:ascii="Calibri" w:hAnsi="Calibri" w:cs="Arial"/>
          <w:sz w:val="22"/>
        </w:rPr>
        <w:lastRenderedPageBreak/>
        <w:t>dar days of the conclusion of the contract but not later than six months after the conclusion of the contract. If the contracting entity has published the award in Amtsblatt der Europäischen Union [transl.: Official Journal of the European Union], the period unenforceability shall end 30 calendar days after announcement of the publication of the award in the Amtsblatt der Europäischen Union.</w:t>
      </w:r>
    </w:p>
    <w:p w14:paraId="569F0E40" w14:textId="77777777" w:rsidR="003D4DF5" w:rsidRPr="003D4DF5" w:rsidRDefault="003D4DF5" w:rsidP="003D4DF5">
      <w:pPr>
        <w:tabs>
          <w:tab w:val="left" w:pos="3686"/>
        </w:tabs>
        <w:spacing w:line="276" w:lineRule="auto"/>
        <w:jc w:val="both"/>
        <w:rPr>
          <w:rFonts w:ascii="Calibri" w:hAnsi="Calibri" w:cs="Arial"/>
          <w:sz w:val="22"/>
        </w:rPr>
      </w:pPr>
      <w:r w:rsidRPr="003D4DF5">
        <w:rPr>
          <w:rFonts w:ascii="Calibri" w:hAnsi="Calibri" w:cs="Arial"/>
          <w:sz w:val="22"/>
        </w:rPr>
        <w:t>Information pursuant to Art. 13 GDPR on the processing of your personal data with-in the scope of our business relationship is available at:</w:t>
      </w:r>
    </w:p>
    <w:p w14:paraId="2EF287B1" w14:textId="77777777" w:rsidR="003D4DF5" w:rsidRPr="003D4DF5" w:rsidRDefault="003D4DF5" w:rsidP="003D4DF5">
      <w:pPr>
        <w:tabs>
          <w:tab w:val="left" w:pos="3686"/>
        </w:tabs>
        <w:spacing w:line="276" w:lineRule="auto"/>
        <w:jc w:val="both"/>
        <w:rPr>
          <w:rFonts w:ascii="Calibri" w:hAnsi="Calibri" w:cs="Arial"/>
          <w:sz w:val="22"/>
        </w:rPr>
      </w:pPr>
      <w:r w:rsidRPr="003D4DF5">
        <w:rPr>
          <w:rFonts w:ascii="Calibri" w:hAnsi="Calibri" w:cs="Arial"/>
          <w:sz w:val="22"/>
        </w:rPr>
        <w:t>www.gsi.de/data-protection</w:t>
      </w:r>
    </w:p>
    <w:p w14:paraId="294C4DFF" w14:textId="77777777" w:rsidR="003D4DF5" w:rsidRPr="003D4DF5" w:rsidRDefault="003D4DF5" w:rsidP="003D4DF5">
      <w:pPr>
        <w:tabs>
          <w:tab w:val="left" w:pos="3686"/>
        </w:tabs>
        <w:spacing w:line="276" w:lineRule="auto"/>
        <w:jc w:val="both"/>
        <w:rPr>
          <w:rFonts w:ascii="Calibri" w:hAnsi="Calibri" w:cs="Arial"/>
          <w:sz w:val="22"/>
        </w:rPr>
      </w:pPr>
    </w:p>
    <w:p w14:paraId="57796476" w14:textId="6F58E80E" w:rsidR="0080105F" w:rsidRPr="003B4071" w:rsidRDefault="003D4DF5" w:rsidP="003D4DF5">
      <w:pPr>
        <w:tabs>
          <w:tab w:val="left" w:pos="3686"/>
        </w:tabs>
        <w:spacing w:line="276" w:lineRule="auto"/>
        <w:jc w:val="both"/>
        <w:rPr>
          <w:rFonts w:ascii="Calibri" w:hAnsi="Calibri" w:cs="Calibri"/>
          <w:sz w:val="22"/>
        </w:rPr>
      </w:pPr>
      <w:r w:rsidRPr="003D4DF5">
        <w:rPr>
          <w:rFonts w:ascii="Calibri" w:hAnsi="Calibri" w:cs="Arial"/>
          <w:sz w:val="22"/>
        </w:rPr>
        <w:t>GSI Helmholtzzentrum für Schwerionenforschung GmbH</w:t>
      </w:r>
    </w:p>
    <w:sectPr w:rsidR="0080105F" w:rsidRPr="003B4071" w:rsidSect="00346DF4">
      <w:headerReference w:type="default" r:id="rId8"/>
      <w:footerReference w:type="default" r:id="rId9"/>
      <w:headerReference w:type="first" r:id="rId10"/>
      <w:footerReference w:type="first" r:id="rId11"/>
      <w:pgSz w:w="11906" w:h="16838" w:code="9"/>
      <w:pgMar w:top="567" w:right="3401"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419B7" w14:textId="77777777" w:rsidR="004B3915" w:rsidRDefault="004B3915" w:rsidP="00026166">
      <w:pPr>
        <w:spacing w:after="0" w:line="240" w:lineRule="auto"/>
      </w:pPr>
      <w:r>
        <w:separator/>
      </w:r>
    </w:p>
  </w:endnote>
  <w:endnote w:type="continuationSeparator" w:id="0">
    <w:p w14:paraId="5F11A6E5" w14:textId="77777777" w:rsidR="004B3915" w:rsidRDefault="004B3915"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5036"/>
      <w:gridCol w:w="2160"/>
    </w:tblGrid>
    <w:tr w:rsidR="006D1744" w:rsidRPr="00D92F12" w14:paraId="564BF445" w14:textId="77777777" w:rsidTr="001D1B13">
      <w:trPr>
        <w:trHeight w:val="1055"/>
      </w:trPr>
      <w:tc>
        <w:tcPr>
          <w:tcW w:w="2562" w:type="dxa"/>
        </w:tcPr>
        <w:p w14:paraId="02A9087A"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29B6E72B"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Page</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sidR="00847122">
            <w:rPr>
              <w:rFonts w:ascii="Calibri" w:eastAsia="Times New Roman" w:hAnsi="Calibri" w:cs="Times New Roman"/>
              <w:noProof/>
              <w:sz w:val="18"/>
              <w:szCs w:val="18"/>
              <w:lang w:eastAsia="de-DE"/>
            </w:rPr>
            <w:t>5</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from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sidR="00847122">
            <w:rPr>
              <w:rFonts w:ascii="Calibri" w:eastAsia="Times New Roman" w:hAnsi="Calibri" w:cs="Times New Roman"/>
              <w:noProof/>
              <w:sz w:val="18"/>
              <w:szCs w:val="18"/>
              <w:lang w:eastAsia="de-DE"/>
            </w:rPr>
            <w:t>15</w:t>
          </w:r>
          <w:r w:rsidRPr="00D92F12">
            <w:rPr>
              <w:rFonts w:ascii="Calibri" w:eastAsia="Times New Roman" w:hAnsi="Calibri" w:cs="Times New Roman"/>
              <w:sz w:val="18"/>
              <w:szCs w:val="18"/>
              <w:lang w:eastAsia="de-DE"/>
            </w:rPr>
            <w:fldChar w:fldCharType="end"/>
          </w:r>
        </w:p>
      </w:tc>
      <w:tc>
        <w:tcPr>
          <w:tcW w:w="5036" w:type="dxa"/>
        </w:tcPr>
        <w:p w14:paraId="68CF34F6"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702FB820" w14:textId="50385524" w:rsidR="006D1744" w:rsidRPr="00D92F12" w:rsidRDefault="003D4DF5" w:rsidP="006D1744">
          <w:pPr>
            <w:tabs>
              <w:tab w:val="center" w:pos="4536"/>
              <w:tab w:val="right" w:pos="9072"/>
            </w:tabs>
            <w:spacing w:after="0" w:line="240" w:lineRule="auto"/>
            <w:rPr>
              <w:rFonts w:ascii="Calibri" w:eastAsia="Times New Roman" w:hAnsi="Calibri" w:cs="Times New Roman"/>
              <w:sz w:val="18"/>
              <w:szCs w:val="18"/>
              <w:lang w:eastAsia="de-DE"/>
            </w:rPr>
          </w:pPr>
          <w:r>
            <w:rPr>
              <w:rFonts w:ascii="Calibri" w:eastAsia="Times New Roman" w:hAnsi="Calibri" w:cs="Times New Roman"/>
              <w:sz w:val="18"/>
              <w:szCs w:val="18"/>
              <w:lang w:eastAsia="de-DE"/>
            </w:rPr>
            <w:t>Tender</w:t>
          </w:r>
          <w:r w:rsidR="006D1744" w:rsidRPr="003B4071">
            <w:rPr>
              <w:rFonts w:ascii="Calibri" w:eastAsia="Times New Roman" w:hAnsi="Calibri" w:cs="Times New Roman"/>
              <w:sz w:val="18"/>
              <w:szCs w:val="18"/>
              <w:lang w:eastAsia="de-DE"/>
            </w:rPr>
            <w:t xml:space="preserve"> No.</w:t>
          </w:r>
          <w:r w:rsidR="003B4071" w:rsidRPr="003B4071">
            <w:rPr>
              <w:rFonts w:ascii="Calibri" w:eastAsia="Times New Roman" w:hAnsi="Calibri" w:cs="Times New Roman"/>
              <w:sz w:val="18"/>
              <w:szCs w:val="18"/>
              <w:lang w:eastAsia="de-DE"/>
            </w:rPr>
            <w:t xml:space="preserve"> 35/2600037017</w:t>
          </w:r>
        </w:p>
        <w:p w14:paraId="71B7A001"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60" w:type="dxa"/>
        </w:tcPr>
        <w:p w14:paraId="2C823449" w14:textId="77777777" w:rsidR="00406275" w:rsidRDefault="00406275"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p>
        <w:p w14:paraId="1A1C99FB" w14:textId="77777777" w:rsidR="006D1744" w:rsidRPr="00406275" w:rsidRDefault="00406275" w:rsidP="00406275">
          <w:pPr>
            <w:jc w:val="center"/>
            <w:rPr>
              <w:rFonts w:ascii="Calibri" w:eastAsia="Times New Roman" w:hAnsi="Calibri" w:cs="Times New Roman"/>
              <w:sz w:val="18"/>
              <w:szCs w:val="18"/>
              <w:lang w:eastAsia="de-DE"/>
            </w:rPr>
          </w:pPr>
          <w:r w:rsidRPr="004630FF">
            <w:rPr>
              <w:rFonts w:ascii="Calibri" w:eastAsia="Calibri" w:hAnsi="Calibri"/>
              <w:noProof/>
              <w:sz w:val="22"/>
              <w:lang w:eastAsia="de-DE"/>
            </w:rPr>
            <w:drawing>
              <wp:inline distT="0" distB="0" distL="0" distR="0" wp14:anchorId="17707858" wp14:editId="50C5912C">
                <wp:extent cx="1162050" cy="578499"/>
                <wp:effectExtent l="0" t="0" r="0" b="0"/>
                <wp:docPr id="4"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3AE6DCD9" w14:textId="77777777" w:rsidR="008A25B9" w:rsidRDefault="008A25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6D1744" w:rsidRPr="00D92F12" w14:paraId="51E678AB" w14:textId="77777777" w:rsidTr="00956967">
      <w:tc>
        <w:tcPr>
          <w:tcW w:w="2522" w:type="dxa"/>
        </w:tcPr>
        <w:p w14:paraId="20527B7B"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1757F0A2"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Page</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from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18</w:t>
          </w:r>
          <w:r w:rsidRPr="00D92F12">
            <w:rPr>
              <w:rFonts w:ascii="Calibri" w:eastAsia="Times New Roman" w:hAnsi="Calibri" w:cs="Times New Roman"/>
              <w:sz w:val="18"/>
              <w:szCs w:val="18"/>
              <w:lang w:eastAsia="de-DE"/>
            </w:rPr>
            <w:fldChar w:fldCharType="end"/>
          </w:r>
        </w:p>
      </w:tc>
      <w:tc>
        <w:tcPr>
          <w:tcW w:w="4957" w:type="dxa"/>
        </w:tcPr>
        <w:p w14:paraId="23B72D40"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454FC525"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Contract No. </w:t>
          </w:r>
          <w:r w:rsidRPr="00D92F12">
            <w:rPr>
              <w:rFonts w:ascii="Calibri" w:eastAsia="Times New Roman" w:hAnsi="Calibri" w:cs="Times New Roman"/>
              <w:sz w:val="18"/>
              <w:szCs w:val="18"/>
              <w:highlight w:val="yellow"/>
              <w:lang w:eastAsia="de-DE"/>
            </w:rPr>
            <w:t>xx/500xxxxx</w:t>
          </w:r>
        </w:p>
        <w:p w14:paraId="204AEE91"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75AEE725"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sidRPr="00D92F12">
            <w:rPr>
              <w:rFonts w:ascii="Calibri" w:eastAsia="Calibri" w:hAnsi="Calibri" w:cs="Times New Roman"/>
              <w:noProof/>
              <w:sz w:val="22"/>
              <w:lang w:eastAsia="de-DE"/>
            </w:rPr>
            <w:drawing>
              <wp:inline distT="0" distB="0" distL="0" distR="0" wp14:anchorId="05E28FA2" wp14:editId="5FACEDC6">
                <wp:extent cx="1162050" cy="578499"/>
                <wp:effectExtent l="0" t="0" r="0" b="0"/>
                <wp:docPr id="6"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11B00646" w14:textId="77777777" w:rsidR="008A25B9" w:rsidRDefault="008A25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8F9D4" w14:textId="77777777" w:rsidR="004B3915" w:rsidRDefault="004B3915" w:rsidP="00026166">
      <w:pPr>
        <w:spacing w:after="0" w:line="240" w:lineRule="auto"/>
      </w:pPr>
      <w:r>
        <w:separator/>
      </w:r>
    </w:p>
  </w:footnote>
  <w:footnote w:type="continuationSeparator" w:id="0">
    <w:p w14:paraId="7A637149" w14:textId="77777777" w:rsidR="004B3915" w:rsidRDefault="004B3915"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164"/>
    </w:tblGrid>
    <w:tr w:rsidR="006D1744" w14:paraId="2E58B8A2" w14:textId="77777777" w:rsidTr="006D1744">
      <w:trPr>
        <w:trHeight w:hRule="exact" w:val="2040"/>
      </w:trPr>
      <w:tc>
        <w:tcPr>
          <w:tcW w:w="7630"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406275" w:rsidRPr="00A771DA" w14:paraId="2FBC6829" w14:textId="77777777" w:rsidTr="00406275">
            <w:trPr>
              <w:trHeight w:hRule="exact" w:val="2041"/>
            </w:trPr>
            <w:tc>
              <w:tcPr>
                <w:tcW w:w="7434" w:type="dxa"/>
              </w:tcPr>
              <w:p w14:paraId="04911BD6" w14:textId="77777777" w:rsidR="00406275" w:rsidRDefault="00406275" w:rsidP="00406275">
                <w:pPr>
                  <w:pStyle w:val="Kopfzeile"/>
                </w:pPr>
                <w:r>
                  <w:rPr>
                    <w:noProof/>
                    <w:lang w:eastAsia="de-DE"/>
                  </w:rPr>
                  <w:drawing>
                    <wp:inline distT="0" distB="0" distL="0" distR="0" wp14:anchorId="0FE6E5C7" wp14:editId="2809B4F9">
                      <wp:extent cx="1441450" cy="457200"/>
                      <wp:effectExtent l="0" t="0" r="635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4DE59F02" w14:textId="77777777" w:rsidR="00406275" w:rsidRDefault="00406275" w:rsidP="00406275">
                <w:pPr>
                  <w:pStyle w:val="Kopfzeile"/>
                  <w:spacing w:after="100" w:line="200" w:lineRule="atLeast"/>
                  <w:ind w:left="284"/>
                  <w:rPr>
                    <w:b/>
                    <w:bCs/>
                    <w:sz w:val="16"/>
                    <w:szCs w:val="16"/>
                  </w:rPr>
                </w:pPr>
              </w:p>
              <w:p w14:paraId="7D11E764" w14:textId="77777777" w:rsidR="00406275" w:rsidRDefault="00406275" w:rsidP="00406275">
                <w:pPr>
                  <w:pStyle w:val="Kopfzeile"/>
                  <w:spacing w:line="200" w:lineRule="atLeast"/>
                  <w:rPr>
                    <w:b/>
                    <w:sz w:val="16"/>
                    <w:szCs w:val="16"/>
                  </w:rPr>
                </w:pPr>
                <w:r>
                  <w:rPr>
                    <w:b/>
                    <w:sz w:val="16"/>
                    <w:szCs w:val="16"/>
                  </w:rPr>
                  <w:t>GSI Helmholtz Center for</w:t>
                </w:r>
              </w:p>
              <w:p w14:paraId="32E6D519" w14:textId="77777777" w:rsidR="00406275" w:rsidRDefault="00406275" w:rsidP="00406275">
                <w:pPr>
                  <w:pStyle w:val="Kopfzeile"/>
                  <w:spacing w:line="200" w:lineRule="atLeast"/>
                  <w:rPr>
                    <w:b/>
                    <w:sz w:val="16"/>
                    <w:szCs w:val="16"/>
                  </w:rPr>
                </w:pPr>
                <w:r>
                  <w:rPr>
                    <w:b/>
                    <w:sz w:val="16"/>
                    <w:szCs w:val="16"/>
                  </w:rPr>
                  <w:t>Heavy Ion Research GmbH</w:t>
                </w:r>
              </w:p>
              <w:p w14:paraId="5C89FDF7" w14:textId="77777777" w:rsidR="00406275" w:rsidRDefault="00406275" w:rsidP="00406275">
                <w:pPr>
                  <w:pStyle w:val="Kopfzeile"/>
                  <w:spacing w:line="200" w:lineRule="atLeast"/>
                  <w:rPr>
                    <w:sz w:val="16"/>
                    <w:szCs w:val="16"/>
                  </w:rPr>
                </w:pPr>
                <w:r>
                  <w:rPr>
                    <w:sz w:val="16"/>
                    <w:szCs w:val="16"/>
                  </w:rPr>
                  <w:t>Planckstraße 1</w:t>
                </w:r>
              </w:p>
              <w:p w14:paraId="34E0DD6C" w14:textId="77777777" w:rsidR="00406275" w:rsidRDefault="00406275" w:rsidP="00406275">
                <w:pPr>
                  <w:pStyle w:val="Kopfzeile"/>
                  <w:spacing w:after="100" w:line="200" w:lineRule="atLeast"/>
                  <w:rPr>
                    <w:sz w:val="16"/>
                    <w:szCs w:val="16"/>
                  </w:rPr>
                </w:pPr>
                <w:r>
                  <w:rPr>
                    <w:sz w:val="16"/>
                    <w:szCs w:val="16"/>
                  </w:rPr>
                  <w:t>64291 Darmstadt</w:t>
                </w:r>
              </w:p>
              <w:p w14:paraId="319B5945" w14:textId="77777777" w:rsidR="00406275" w:rsidRPr="006622DE" w:rsidRDefault="00570C85" w:rsidP="00346DF4">
                <w:pPr>
                  <w:pStyle w:val="Kopfzeile"/>
                  <w:spacing w:line="200" w:lineRule="atLeast"/>
                </w:pPr>
                <w:hyperlink r:id="rId2" w:history="1">
                  <w:r w:rsidR="00406275" w:rsidRPr="001D19BE">
                    <w:rPr>
                      <w:rStyle w:val="Hyperlink"/>
                      <w:color w:val="auto"/>
                      <w:sz w:val="16"/>
                      <w:szCs w:val="16"/>
                    </w:rPr>
                    <w:t>www.gsi.de</w:t>
                  </w:r>
                </w:hyperlink>
              </w:p>
            </w:tc>
          </w:tr>
        </w:tbl>
        <w:p w14:paraId="69F4BA4B" w14:textId="77777777" w:rsidR="006D1744" w:rsidRDefault="006D1744" w:rsidP="006D1744">
          <w:pPr>
            <w:pStyle w:val="Kopfzeile"/>
          </w:pPr>
        </w:p>
      </w:tc>
      <w:tc>
        <w:tcPr>
          <w:tcW w:w="3075" w:type="dxa"/>
        </w:tcPr>
        <w:p w14:paraId="6C9BC16F" w14:textId="77777777" w:rsidR="006D1744" w:rsidRDefault="006D1744" w:rsidP="006D1744">
          <w:pPr>
            <w:pStyle w:val="Kopfzeile"/>
            <w:spacing w:line="200" w:lineRule="atLeast"/>
          </w:pPr>
        </w:p>
      </w:tc>
    </w:tr>
  </w:tbl>
  <w:p w14:paraId="1CAFFBB1" w14:textId="77777777" w:rsidR="008A25B9" w:rsidRPr="00A53F17" w:rsidRDefault="008A25B9"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73"/>
      <w:gridCol w:w="3011"/>
    </w:tblGrid>
    <w:tr w:rsidR="006D1744" w14:paraId="6FF99C70" w14:textId="77777777" w:rsidTr="006D1744">
      <w:trPr>
        <w:trHeight w:hRule="exact" w:val="2012"/>
      </w:trPr>
      <w:tc>
        <w:tcPr>
          <w:tcW w:w="7473" w:type="dxa"/>
        </w:tcPr>
        <w:p w14:paraId="0A80D772" w14:textId="77777777" w:rsidR="006D1744" w:rsidRDefault="006D1744" w:rsidP="006D1744">
          <w:pPr>
            <w:pStyle w:val="Kopfzeile"/>
          </w:pPr>
          <w:r>
            <w:rPr>
              <w:noProof/>
              <w:lang w:eastAsia="de-DE"/>
            </w:rPr>
            <w:drawing>
              <wp:inline distT="0" distB="0" distL="0" distR="0" wp14:anchorId="465F3095" wp14:editId="4CD797AC">
                <wp:extent cx="1441450" cy="457200"/>
                <wp:effectExtent l="0" t="0" r="635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11" w:type="dxa"/>
        </w:tcPr>
        <w:p w14:paraId="0BD5D9A1" w14:textId="77777777" w:rsidR="006D1744" w:rsidRDefault="00406275" w:rsidP="006D1744">
          <w:pPr>
            <w:pStyle w:val="Kopfzeile"/>
            <w:spacing w:line="200" w:lineRule="atLeast"/>
            <w:rPr>
              <w:b/>
              <w:sz w:val="16"/>
              <w:szCs w:val="16"/>
            </w:rPr>
          </w:pPr>
          <w:r>
            <w:rPr>
              <w:b/>
              <w:sz w:val="16"/>
              <w:szCs w:val="16"/>
            </w:rPr>
            <w:t xml:space="preserve">GSI </w:t>
          </w:r>
          <w:r w:rsidR="006D1744">
            <w:rPr>
              <w:b/>
              <w:sz w:val="16"/>
              <w:szCs w:val="16"/>
            </w:rPr>
            <w:t>Helmholtz Center for</w:t>
          </w:r>
        </w:p>
        <w:p w14:paraId="260AA538" w14:textId="77777777" w:rsidR="006D1744" w:rsidRDefault="006D1744" w:rsidP="006D1744">
          <w:pPr>
            <w:pStyle w:val="Kopfzeile"/>
            <w:spacing w:line="200" w:lineRule="atLeast"/>
            <w:rPr>
              <w:b/>
              <w:sz w:val="16"/>
              <w:szCs w:val="16"/>
            </w:rPr>
          </w:pPr>
          <w:r>
            <w:rPr>
              <w:b/>
              <w:sz w:val="16"/>
              <w:szCs w:val="16"/>
            </w:rPr>
            <w:t>Heavy Ion Research GmbH</w:t>
          </w:r>
        </w:p>
        <w:p w14:paraId="017123DF" w14:textId="77777777" w:rsidR="006D1744" w:rsidRDefault="006D1744" w:rsidP="006D1744">
          <w:pPr>
            <w:pStyle w:val="Kopfzeile"/>
            <w:spacing w:line="200" w:lineRule="atLeast"/>
            <w:rPr>
              <w:sz w:val="16"/>
              <w:szCs w:val="16"/>
            </w:rPr>
          </w:pPr>
          <w:r>
            <w:rPr>
              <w:sz w:val="16"/>
              <w:szCs w:val="16"/>
            </w:rPr>
            <w:t>Planckstraße 1</w:t>
          </w:r>
        </w:p>
        <w:p w14:paraId="6C79E346" w14:textId="77777777" w:rsidR="006D1744" w:rsidRDefault="006D1744" w:rsidP="006D1744">
          <w:pPr>
            <w:pStyle w:val="Kopfzeile"/>
            <w:spacing w:after="100" w:line="200" w:lineRule="atLeast"/>
            <w:rPr>
              <w:sz w:val="16"/>
              <w:szCs w:val="16"/>
            </w:rPr>
          </w:pPr>
          <w:r>
            <w:rPr>
              <w:sz w:val="16"/>
              <w:szCs w:val="16"/>
            </w:rPr>
            <w:t>64291 Darmstadt</w:t>
          </w:r>
        </w:p>
        <w:p w14:paraId="1B10D64A" w14:textId="77777777" w:rsidR="006D1744" w:rsidRDefault="00570C85" w:rsidP="006D1744">
          <w:pPr>
            <w:pStyle w:val="Kopfzeile"/>
            <w:spacing w:line="200" w:lineRule="atLeast"/>
          </w:pPr>
          <w:hyperlink r:id="rId2" w:history="1">
            <w:r w:rsidR="006D1744" w:rsidRPr="00C92092">
              <w:rPr>
                <w:rStyle w:val="Hyperlink"/>
                <w:color w:val="auto"/>
                <w:sz w:val="16"/>
                <w:szCs w:val="16"/>
              </w:rPr>
              <w:t>www.GSI.de</w:t>
            </w:r>
          </w:hyperlink>
        </w:p>
      </w:tc>
    </w:tr>
  </w:tbl>
  <w:p w14:paraId="55F3606F" w14:textId="77777777" w:rsidR="008A25B9" w:rsidRPr="00F170DD" w:rsidRDefault="008A25B9"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33396B"/>
    <w:multiLevelType w:val="multilevel"/>
    <w:tmpl w:val="0407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6" w15:restartNumberingAfterBreak="0">
    <w:nsid w:val="0EF32089"/>
    <w:multiLevelType w:val="hybridMultilevel"/>
    <w:tmpl w:val="CFA440D4"/>
    <w:lvl w:ilvl="0" w:tplc="7E9A5DB2">
      <w:start w:val="1"/>
      <w:numFmt w:val="upp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2B2D75"/>
    <w:multiLevelType w:val="hybridMultilevel"/>
    <w:tmpl w:val="376C7202"/>
    <w:lvl w:ilvl="0" w:tplc="6966FB2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133B6E38"/>
    <w:multiLevelType w:val="hybridMultilevel"/>
    <w:tmpl w:val="43128A62"/>
    <w:lvl w:ilvl="0" w:tplc="FF18EF9E">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4F6B0E"/>
    <w:multiLevelType w:val="hybridMultilevel"/>
    <w:tmpl w:val="79367AF4"/>
    <w:lvl w:ilvl="0" w:tplc="6FAECF5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5BE5C1A"/>
    <w:multiLevelType w:val="hybridMultilevel"/>
    <w:tmpl w:val="4DEA622C"/>
    <w:lvl w:ilvl="0" w:tplc="09E292BA">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177B7B2C"/>
    <w:multiLevelType w:val="multilevel"/>
    <w:tmpl w:val="8EE67E28"/>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2" w15:restartNumberingAfterBreak="0">
    <w:nsid w:val="19797167"/>
    <w:multiLevelType w:val="hybridMultilevel"/>
    <w:tmpl w:val="88A83FC0"/>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207A3184"/>
    <w:multiLevelType w:val="hybridMultilevel"/>
    <w:tmpl w:val="ABB25FEE"/>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79A6762"/>
    <w:multiLevelType w:val="hybridMultilevel"/>
    <w:tmpl w:val="D8D4FDCA"/>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2BFD4692"/>
    <w:multiLevelType w:val="hybridMultilevel"/>
    <w:tmpl w:val="430C6F1E"/>
    <w:lvl w:ilvl="0" w:tplc="0407000B">
      <w:start w:val="1"/>
      <w:numFmt w:val="bullet"/>
      <w:lvlText w:val=""/>
      <w:lvlJc w:val="left"/>
      <w:pPr>
        <w:ind w:left="436" w:hanging="360"/>
      </w:pPr>
      <w:rPr>
        <w:rFonts w:ascii="Wingdings" w:hAnsi="Wingdings" w:hint="default"/>
      </w:r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16"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7" w15:restartNumberingAfterBreak="0">
    <w:nsid w:val="2E035C04"/>
    <w:multiLevelType w:val="hybridMultilevel"/>
    <w:tmpl w:val="B6D0F6E6"/>
    <w:lvl w:ilvl="0" w:tplc="E0E65A5A">
      <w:numFmt w:val="bullet"/>
      <w:lvlText w:val="-"/>
      <w:lvlJc w:val="left"/>
      <w:pPr>
        <w:ind w:left="1496" w:hanging="360"/>
      </w:pPr>
      <w:rPr>
        <w:rFonts w:ascii="Calibri" w:eastAsia="Times New Roman" w:hAnsi="Calibri" w:hint="default"/>
      </w:rPr>
    </w:lvl>
    <w:lvl w:ilvl="1" w:tplc="04070003" w:tentative="1">
      <w:start w:val="1"/>
      <w:numFmt w:val="bullet"/>
      <w:lvlText w:val="o"/>
      <w:lvlJc w:val="left"/>
      <w:pPr>
        <w:ind w:left="2008" w:hanging="360"/>
      </w:pPr>
      <w:rPr>
        <w:rFonts w:ascii="Courier New" w:hAnsi="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8" w15:restartNumberingAfterBreak="0">
    <w:nsid w:val="2EF80C5E"/>
    <w:multiLevelType w:val="hybridMultilevel"/>
    <w:tmpl w:val="CBB68440"/>
    <w:lvl w:ilvl="0" w:tplc="E0E65A5A">
      <w:numFmt w:val="bullet"/>
      <w:lvlText w:val="-"/>
      <w:lvlJc w:val="left"/>
      <w:pPr>
        <w:ind w:left="928" w:hanging="360"/>
      </w:pPr>
      <w:rPr>
        <w:rFonts w:ascii="Calibri" w:eastAsia="Times New Roman" w:hAnsi="Calibri"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31246832"/>
    <w:multiLevelType w:val="hybridMultilevel"/>
    <w:tmpl w:val="2996E1FA"/>
    <w:lvl w:ilvl="0" w:tplc="0407000F">
      <w:start w:val="1"/>
      <w:numFmt w:val="decimal"/>
      <w:lvlText w:val="%1."/>
      <w:lvlJc w:val="left"/>
      <w:pPr>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032C18"/>
    <w:multiLevelType w:val="hybridMultilevel"/>
    <w:tmpl w:val="C4DCA6E2"/>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48EB32FD"/>
    <w:multiLevelType w:val="hybridMultilevel"/>
    <w:tmpl w:val="8FD0B2D0"/>
    <w:lvl w:ilvl="0" w:tplc="99F028FA">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50AE6AB0"/>
    <w:multiLevelType w:val="hybridMultilevel"/>
    <w:tmpl w:val="578629F6"/>
    <w:lvl w:ilvl="0" w:tplc="14E62158">
      <w:start w:val="1"/>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4145214"/>
    <w:multiLevelType w:val="hybridMultilevel"/>
    <w:tmpl w:val="D464A52E"/>
    <w:lvl w:ilvl="0" w:tplc="D73CAED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6431B0F"/>
    <w:multiLevelType w:val="hybridMultilevel"/>
    <w:tmpl w:val="411A15C4"/>
    <w:lvl w:ilvl="0" w:tplc="2A160EA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27" w15:restartNumberingAfterBreak="0">
    <w:nsid w:val="5C237C05"/>
    <w:multiLevelType w:val="hybridMultilevel"/>
    <w:tmpl w:val="4E081F1E"/>
    <w:lvl w:ilvl="0" w:tplc="6FAECF5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F72069"/>
    <w:multiLevelType w:val="multilevel"/>
    <w:tmpl w:val="486A64A2"/>
    <w:lvl w:ilvl="0">
      <w:start w:val="1"/>
      <w:numFmt w:val="decimal"/>
      <w:lvlText w:val="%1"/>
      <w:lvlJc w:val="left"/>
      <w:pPr>
        <w:tabs>
          <w:tab w:val="num" w:pos="350"/>
        </w:tabs>
        <w:ind w:left="350" w:hanging="350"/>
      </w:pPr>
      <w:rPr>
        <w:rFonts w:ascii="Arial Fett" w:hAnsi="Arial Fett" w:hint="default"/>
        <w:b/>
        <w:i w:val="0"/>
        <w:sz w:val="22"/>
        <w:szCs w:val="22"/>
      </w:rPr>
    </w:lvl>
    <w:lvl w:ilvl="1">
      <w:start w:val="1"/>
      <w:numFmt w:val="decimal"/>
      <w:lvlText w:val="%1.%2"/>
      <w:lvlJc w:val="left"/>
      <w:pPr>
        <w:tabs>
          <w:tab w:val="num" w:pos="782"/>
        </w:tabs>
        <w:ind w:left="782" w:hanging="782"/>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3"/>
        </w:tabs>
        <w:ind w:left="1923" w:hanging="1214"/>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29" w15:restartNumberingAfterBreak="0">
    <w:nsid w:val="755919A2"/>
    <w:multiLevelType w:val="hybridMultilevel"/>
    <w:tmpl w:val="CEAE69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9FF0E35"/>
    <w:multiLevelType w:val="hybridMultilevel"/>
    <w:tmpl w:val="8BB8A900"/>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0"/>
  </w:num>
  <w:num w:numId="2">
    <w:abstractNumId w:val="16"/>
  </w:num>
  <w:num w:numId="3">
    <w:abstractNumId w:val="4"/>
  </w:num>
  <w:num w:numId="4">
    <w:abstractNumId w:val="3"/>
  </w:num>
  <w:num w:numId="5">
    <w:abstractNumId w:val="2"/>
  </w:num>
  <w:num w:numId="6">
    <w:abstractNumId w:val="1"/>
  </w:num>
  <w:num w:numId="7">
    <w:abstractNumId w:val="0"/>
  </w:num>
  <w:num w:numId="8">
    <w:abstractNumId w:val="26"/>
  </w:num>
  <w:num w:numId="9">
    <w:abstractNumId w:val="18"/>
  </w:num>
  <w:num w:numId="10">
    <w:abstractNumId w:val="14"/>
  </w:num>
  <w:num w:numId="11">
    <w:abstractNumId w:val="17"/>
  </w:num>
  <w:num w:numId="12">
    <w:abstractNumId w:val="19"/>
  </w:num>
  <w:num w:numId="13">
    <w:abstractNumId w:val="28"/>
  </w:num>
  <w:num w:numId="14">
    <w:abstractNumId w:val="9"/>
  </w:num>
  <w:num w:numId="15">
    <w:abstractNumId w:val="7"/>
  </w:num>
  <w:num w:numId="16">
    <w:abstractNumId w:val="11"/>
  </w:num>
  <w:num w:numId="17">
    <w:abstractNumId w:val="6"/>
  </w:num>
  <w:num w:numId="18">
    <w:abstractNumId w:val="5"/>
  </w:num>
  <w:num w:numId="19">
    <w:abstractNumId w:val="29"/>
  </w:num>
  <w:num w:numId="20">
    <w:abstractNumId w:val="22"/>
  </w:num>
  <w:num w:numId="21">
    <w:abstractNumId w:val="23"/>
  </w:num>
  <w:num w:numId="22">
    <w:abstractNumId w:val="25"/>
  </w:num>
  <w:num w:numId="23">
    <w:abstractNumId w:val="8"/>
  </w:num>
  <w:num w:numId="24">
    <w:abstractNumId w:val="24"/>
  </w:num>
  <w:num w:numId="25">
    <w:abstractNumId w:val="15"/>
  </w:num>
  <w:num w:numId="26">
    <w:abstractNumId w:val="21"/>
  </w:num>
  <w:num w:numId="27">
    <w:abstractNumId w:val="12"/>
  </w:num>
  <w:num w:numId="28">
    <w:abstractNumId w:val="30"/>
  </w:num>
  <w:num w:numId="29">
    <w:abstractNumId w:val="10"/>
  </w:num>
  <w:num w:numId="30">
    <w:abstractNumId w:val="27"/>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AES" w:cryptAlgorithmClass="hash" w:cryptAlgorithmType="typeAny" w:cryptAlgorithmSid="14" w:cryptSpinCount="100000" w:hash="ceEWvC/1fbDPe166lL2w0vRexqZBWERaw57T3cHCxJBZxhLu783GpPfwW5+LLG2aUT9i+BLaUKdemOu4hUftjw==" w:salt="yrrR9fsGvQONjmEG33EBPg=="/>
  <w:defaultTabStop w:val="709"/>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915"/>
    <w:rsid w:val="00006954"/>
    <w:rsid w:val="0001088F"/>
    <w:rsid w:val="00012303"/>
    <w:rsid w:val="00026166"/>
    <w:rsid w:val="000602C6"/>
    <w:rsid w:val="000639FB"/>
    <w:rsid w:val="000824F4"/>
    <w:rsid w:val="000C3259"/>
    <w:rsid w:val="000C6E5C"/>
    <w:rsid w:val="000D54B6"/>
    <w:rsid w:val="000E351C"/>
    <w:rsid w:val="000E3A52"/>
    <w:rsid w:val="000E6772"/>
    <w:rsid w:val="000F04EF"/>
    <w:rsid w:val="000F7F0D"/>
    <w:rsid w:val="001212A8"/>
    <w:rsid w:val="00123706"/>
    <w:rsid w:val="001366BE"/>
    <w:rsid w:val="00142ADC"/>
    <w:rsid w:val="00144BFA"/>
    <w:rsid w:val="001476BE"/>
    <w:rsid w:val="00161C5B"/>
    <w:rsid w:val="00166830"/>
    <w:rsid w:val="0017098C"/>
    <w:rsid w:val="001772F9"/>
    <w:rsid w:val="00180007"/>
    <w:rsid w:val="00192C61"/>
    <w:rsid w:val="00195932"/>
    <w:rsid w:val="001A3C07"/>
    <w:rsid w:val="001C3382"/>
    <w:rsid w:val="001D1B13"/>
    <w:rsid w:val="001D42BF"/>
    <w:rsid w:val="001D5FEC"/>
    <w:rsid w:val="00201F49"/>
    <w:rsid w:val="002333EB"/>
    <w:rsid w:val="00235E88"/>
    <w:rsid w:val="00237E82"/>
    <w:rsid w:val="00245B05"/>
    <w:rsid w:val="00250F83"/>
    <w:rsid w:val="00251585"/>
    <w:rsid w:val="00265447"/>
    <w:rsid w:val="00271855"/>
    <w:rsid w:val="00277BC9"/>
    <w:rsid w:val="00286669"/>
    <w:rsid w:val="00291169"/>
    <w:rsid w:val="002A079C"/>
    <w:rsid w:val="002A33EC"/>
    <w:rsid w:val="002B377B"/>
    <w:rsid w:val="002C48E7"/>
    <w:rsid w:val="002D15C1"/>
    <w:rsid w:val="002D3444"/>
    <w:rsid w:val="002E0BA6"/>
    <w:rsid w:val="002E33FC"/>
    <w:rsid w:val="002E3546"/>
    <w:rsid w:val="002E46A6"/>
    <w:rsid w:val="00302CEA"/>
    <w:rsid w:val="0031027E"/>
    <w:rsid w:val="00331AEC"/>
    <w:rsid w:val="00334ACD"/>
    <w:rsid w:val="003373C1"/>
    <w:rsid w:val="00341DFF"/>
    <w:rsid w:val="00343E95"/>
    <w:rsid w:val="00346DF4"/>
    <w:rsid w:val="00351D3D"/>
    <w:rsid w:val="00365E58"/>
    <w:rsid w:val="003829F9"/>
    <w:rsid w:val="00387D7B"/>
    <w:rsid w:val="0039524C"/>
    <w:rsid w:val="003A242B"/>
    <w:rsid w:val="003A519B"/>
    <w:rsid w:val="003B4071"/>
    <w:rsid w:val="003C2EBD"/>
    <w:rsid w:val="003D4DF5"/>
    <w:rsid w:val="003D61AE"/>
    <w:rsid w:val="003D683F"/>
    <w:rsid w:val="003D6C5E"/>
    <w:rsid w:val="003E1F3A"/>
    <w:rsid w:val="003E5807"/>
    <w:rsid w:val="003F5AE9"/>
    <w:rsid w:val="00406275"/>
    <w:rsid w:val="004104F0"/>
    <w:rsid w:val="00422C5E"/>
    <w:rsid w:val="00425140"/>
    <w:rsid w:val="00425DCA"/>
    <w:rsid w:val="004312A3"/>
    <w:rsid w:val="0043317D"/>
    <w:rsid w:val="00435BA3"/>
    <w:rsid w:val="004407D5"/>
    <w:rsid w:val="004502B2"/>
    <w:rsid w:val="00464261"/>
    <w:rsid w:val="004871D9"/>
    <w:rsid w:val="004A300A"/>
    <w:rsid w:val="004B3915"/>
    <w:rsid w:val="004D1B2F"/>
    <w:rsid w:val="004E2FAA"/>
    <w:rsid w:val="004F27F7"/>
    <w:rsid w:val="0050204D"/>
    <w:rsid w:val="00521EA1"/>
    <w:rsid w:val="00531B5A"/>
    <w:rsid w:val="00535EC0"/>
    <w:rsid w:val="005403D1"/>
    <w:rsid w:val="005449F6"/>
    <w:rsid w:val="005501B0"/>
    <w:rsid w:val="00550314"/>
    <w:rsid w:val="00551407"/>
    <w:rsid w:val="005559FD"/>
    <w:rsid w:val="005574E0"/>
    <w:rsid w:val="00570C85"/>
    <w:rsid w:val="00575989"/>
    <w:rsid w:val="00585BF5"/>
    <w:rsid w:val="00585CBB"/>
    <w:rsid w:val="005867D9"/>
    <w:rsid w:val="005C5EA9"/>
    <w:rsid w:val="005E5E05"/>
    <w:rsid w:val="005E7201"/>
    <w:rsid w:val="00604EBF"/>
    <w:rsid w:val="006147AF"/>
    <w:rsid w:val="006318AE"/>
    <w:rsid w:val="00654DEC"/>
    <w:rsid w:val="006566E5"/>
    <w:rsid w:val="006647F3"/>
    <w:rsid w:val="006705A7"/>
    <w:rsid w:val="00671603"/>
    <w:rsid w:val="006744F4"/>
    <w:rsid w:val="00674C5D"/>
    <w:rsid w:val="00684CFF"/>
    <w:rsid w:val="006875A4"/>
    <w:rsid w:val="00693B9D"/>
    <w:rsid w:val="006D1744"/>
    <w:rsid w:val="006D33D0"/>
    <w:rsid w:val="006D369D"/>
    <w:rsid w:val="006D54D5"/>
    <w:rsid w:val="006D7AAE"/>
    <w:rsid w:val="006E018E"/>
    <w:rsid w:val="006E4437"/>
    <w:rsid w:val="00703762"/>
    <w:rsid w:val="007231C1"/>
    <w:rsid w:val="007753E8"/>
    <w:rsid w:val="00786A95"/>
    <w:rsid w:val="00787289"/>
    <w:rsid w:val="00791D7A"/>
    <w:rsid w:val="00797664"/>
    <w:rsid w:val="007A3DB0"/>
    <w:rsid w:val="007B3FB7"/>
    <w:rsid w:val="007B5F2D"/>
    <w:rsid w:val="007D6ED1"/>
    <w:rsid w:val="0080105F"/>
    <w:rsid w:val="00801284"/>
    <w:rsid w:val="00803044"/>
    <w:rsid w:val="00807EE9"/>
    <w:rsid w:val="008226DD"/>
    <w:rsid w:val="008375AB"/>
    <w:rsid w:val="0084000D"/>
    <w:rsid w:val="00847122"/>
    <w:rsid w:val="008522CB"/>
    <w:rsid w:val="00870243"/>
    <w:rsid w:val="00876C29"/>
    <w:rsid w:val="008A072F"/>
    <w:rsid w:val="008A25B9"/>
    <w:rsid w:val="008B590D"/>
    <w:rsid w:val="008C3A20"/>
    <w:rsid w:val="008E5F37"/>
    <w:rsid w:val="008E60E8"/>
    <w:rsid w:val="008F3E55"/>
    <w:rsid w:val="0090324A"/>
    <w:rsid w:val="00903BA1"/>
    <w:rsid w:val="009057D0"/>
    <w:rsid w:val="009106EE"/>
    <w:rsid w:val="0093052E"/>
    <w:rsid w:val="00937BE9"/>
    <w:rsid w:val="0096010F"/>
    <w:rsid w:val="00960F4F"/>
    <w:rsid w:val="00962975"/>
    <w:rsid w:val="00964097"/>
    <w:rsid w:val="00970C7F"/>
    <w:rsid w:val="00973F19"/>
    <w:rsid w:val="00982531"/>
    <w:rsid w:val="00985401"/>
    <w:rsid w:val="00987A20"/>
    <w:rsid w:val="00994424"/>
    <w:rsid w:val="009A02E3"/>
    <w:rsid w:val="009A4198"/>
    <w:rsid w:val="009A74DC"/>
    <w:rsid w:val="009C5CDA"/>
    <w:rsid w:val="009E4B29"/>
    <w:rsid w:val="00A007B2"/>
    <w:rsid w:val="00A1246E"/>
    <w:rsid w:val="00A27F45"/>
    <w:rsid w:val="00A42A0E"/>
    <w:rsid w:val="00A52FD2"/>
    <w:rsid w:val="00A53F17"/>
    <w:rsid w:val="00A577C0"/>
    <w:rsid w:val="00A638D6"/>
    <w:rsid w:val="00A81D2E"/>
    <w:rsid w:val="00A8400D"/>
    <w:rsid w:val="00A8510D"/>
    <w:rsid w:val="00A872E6"/>
    <w:rsid w:val="00A91EE2"/>
    <w:rsid w:val="00AB0710"/>
    <w:rsid w:val="00AB0BC5"/>
    <w:rsid w:val="00AB4082"/>
    <w:rsid w:val="00AB45A8"/>
    <w:rsid w:val="00AC18AA"/>
    <w:rsid w:val="00AE152F"/>
    <w:rsid w:val="00AE422B"/>
    <w:rsid w:val="00B00EB2"/>
    <w:rsid w:val="00B04B1C"/>
    <w:rsid w:val="00B26492"/>
    <w:rsid w:val="00B26547"/>
    <w:rsid w:val="00B3116F"/>
    <w:rsid w:val="00B36D37"/>
    <w:rsid w:val="00B4166E"/>
    <w:rsid w:val="00B47D5D"/>
    <w:rsid w:val="00B5413F"/>
    <w:rsid w:val="00B56F15"/>
    <w:rsid w:val="00B57E9F"/>
    <w:rsid w:val="00B652AB"/>
    <w:rsid w:val="00B93011"/>
    <w:rsid w:val="00B93EB2"/>
    <w:rsid w:val="00BA76AB"/>
    <w:rsid w:val="00BB6D05"/>
    <w:rsid w:val="00BD79A3"/>
    <w:rsid w:val="00BE7490"/>
    <w:rsid w:val="00BF1BA3"/>
    <w:rsid w:val="00C14E03"/>
    <w:rsid w:val="00C21592"/>
    <w:rsid w:val="00C22631"/>
    <w:rsid w:val="00C23FA9"/>
    <w:rsid w:val="00C26A0C"/>
    <w:rsid w:val="00C4014F"/>
    <w:rsid w:val="00C43C8E"/>
    <w:rsid w:val="00C5088C"/>
    <w:rsid w:val="00C56967"/>
    <w:rsid w:val="00C577C5"/>
    <w:rsid w:val="00C627BD"/>
    <w:rsid w:val="00C654BB"/>
    <w:rsid w:val="00C80798"/>
    <w:rsid w:val="00C84DB5"/>
    <w:rsid w:val="00C95900"/>
    <w:rsid w:val="00CA015B"/>
    <w:rsid w:val="00CB0499"/>
    <w:rsid w:val="00CB296D"/>
    <w:rsid w:val="00CB36E0"/>
    <w:rsid w:val="00CD6BCB"/>
    <w:rsid w:val="00CE0BA7"/>
    <w:rsid w:val="00CE4FDB"/>
    <w:rsid w:val="00CE5BF7"/>
    <w:rsid w:val="00CE7917"/>
    <w:rsid w:val="00D001A3"/>
    <w:rsid w:val="00D00450"/>
    <w:rsid w:val="00D0599D"/>
    <w:rsid w:val="00D15F09"/>
    <w:rsid w:val="00D24F94"/>
    <w:rsid w:val="00D3116F"/>
    <w:rsid w:val="00D32F98"/>
    <w:rsid w:val="00D4681A"/>
    <w:rsid w:val="00D7375D"/>
    <w:rsid w:val="00D7463C"/>
    <w:rsid w:val="00D92589"/>
    <w:rsid w:val="00DA1401"/>
    <w:rsid w:val="00DA1C31"/>
    <w:rsid w:val="00DA4C94"/>
    <w:rsid w:val="00DA6B47"/>
    <w:rsid w:val="00DB0B5F"/>
    <w:rsid w:val="00DB6A1A"/>
    <w:rsid w:val="00DC12E3"/>
    <w:rsid w:val="00DC49E9"/>
    <w:rsid w:val="00DD1890"/>
    <w:rsid w:val="00DD57E2"/>
    <w:rsid w:val="00DD72D7"/>
    <w:rsid w:val="00DF0C0B"/>
    <w:rsid w:val="00DF209D"/>
    <w:rsid w:val="00E003D6"/>
    <w:rsid w:val="00E0133A"/>
    <w:rsid w:val="00E21500"/>
    <w:rsid w:val="00E246FE"/>
    <w:rsid w:val="00E430DD"/>
    <w:rsid w:val="00E6351B"/>
    <w:rsid w:val="00E66E11"/>
    <w:rsid w:val="00E77391"/>
    <w:rsid w:val="00E93D64"/>
    <w:rsid w:val="00EA1FEB"/>
    <w:rsid w:val="00EA468F"/>
    <w:rsid w:val="00EA4A02"/>
    <w:rsid w:val="00EB56B9"/>
    <w:rsid w:val="00EC6A02"/>
    <w:rsid w:val="00EE2833"/>
    <w:rsid w:val="00EF5CF2"/>
    <w:rsid w:val="00F056D6"/>
    <w:rsid w:val="00F170DD"/>
    <w:rsid w:val="00F20289"/>
    <w:rsid w:val="00F237E5"/>
    <w:rsid w:val="00F23E24"/>
    <w:rsid w:val="00F27F07"/>
    <w:rsid w:val="00F31972"/>
    <w:rsid w:val="00F40256"/>
    <w:rsid w:val="00F4704F"/>
    <w:rsid w:val="00F545F2"/>
    <w:rsid w:val="00F62479"/>
    <w:rsid w:val="00F65DB3"/>
    <w:rsid w:val="00F90714"/>
    <w:rsid w:val="00FA011E"/>
    <w:rsid w:val="00FA44A8"/>
    <w:rsid w:val="00FA480F"/>
    <w:rsid w:val="00FA4C0C"/>
    <w:rsid w:val="00FA6C3D"/>
    <w:rsid w:val="00FA7BB8"/>
    <w:rsid w:val="00FC265C"/>
    <w:rsid w:val="00FD657B"/>
    <w:rsid w:val="00FE1E42"/>
    <w:rsid w:val="00FF646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5990A9E"/>
  <w15:docId w15:val="{BCE6572A-4094-4E00-8D84-70101436F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link w:val="ListenabsatzZchn"/>
    <w:uiPriority w:val="34"/>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8"/>
      </w:numPr>
      <w:spacing w:before="120" w:after="120" w:line="240" w:lineRule="auto"/>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semiHidden/>
    <w:unhideWhenUsed/>
    <w:rsid w:val="00144BFA"/>
    <w:pPr>
      <w:spacing w:line="240" w:lineRule="auto"/>
    </w:pPr>
    <w:rPr>
      <w:szCs w:val="20"/>
    </w:rPr>
  </w:style>
  <w:style w:type="character" w:customStyle="1" w:styleId="KommentartextZchn">
    <w:name w:val="Kommentartext Zchn"/>
    <w:basedOn w:val="Absatz-Standardschriftart"/>
    <w:link w:val="Kommentartext"/>
    <w:uiPriority w:val="99"/>
    <w:semiHidden/>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pPr>
      <w:spacing w:after="0"/>
    </w:pPr>
    <w:rPr>
      <w:sz w:val="20"/>
    </w:rPr>
  </w:style>
  <w:style w:type="character" w:customStyle="1" w:styleId="ListenabsatzZchn">
    <w:name w:val="Listenabsatz Zchn"/>
    <w:link w:val="Listenabsatz"/>
    <w:uiPriority w:val="34"/>
    <w:locked/>
    <w:rsid w:val="00D7463C"/>
    <w:rPr>
      <w:rFonts w:ascii="Calibri" w:eastAsia="Times New Roman" w:hAnsi="Calibri" w:cs="Times New Roman"/>
    </w:rPr>
  </w:style>
  <w:style w:type="paragraph" w:styleId="NurText">
    <w:name w:val="Plain Text"/>
    <w:basedOn w:val="Standard"/>
    <w:link w:val="NurTextZchn"/>
    <w:uiPriority w:val="99"/>
    <w:semiHidden/>
    <w:unhideWhenUsed/>
    <w:rsid w:val="00D7463C"/>
    <w:pPr>
      <w:spacing w:after="0" w:line="240" w:lineRule="auto"/>
    </w:pPr>
    <w:rPr>
      <w:rFonts w:ascii="Calibri" w:hAnsi="Calibri" w:cs="Times New Roman"/>
      <w:sz w:val="22"/>
    </w:rPr>
  </w:style>
  <w:style w:type="character" w:customStyle="1" w:styleId="NurTextZchn">
    <w:name w:val="Nur Text Zchn"/>
    <w:basedOn w:val="Absatz-Standardschriftart"/>
    <w:link w:val="NurText"/>
    <w:uiPriority w:val="99"/>
    <w:semiHidden/>
    <w:rsid w:val="00D7463C"/>
    <w:rPr>
      <w:rFonts w:ascii="Calibri" w:hAnsi="Calibri" w:cs="Times New Roman"/>
    </w:rPr>
  </w:style>
  <w:style w:type="character" w:styleId="Hervorhebung">
    <w:name w:val="Emphasis"/>
    <w:basedOn w:val="Absatz-Standardschriftart"/>
    <w:uiPriority w:val="20"/>
    <w:qFormat/>
    <w:rsid w:val="007B3FB7"/>
    <w:rPr>
      <w:i/>
      <w:iCs/>
    </w:rPr>
  </w:style>
  <w:style w:type="character" w:styleId="NichtaufgelsteErwhnung">
    <w:name w:val="Unresolved Mention"/>
    <w:basedOn w:val="Absatz-Standardschriftart"/>
    <w:uiPriority w:val="99"/>
    <w:semiHidden/>
    <w:unhideWhenUsed/>
    <w:rsid w:val="006D33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330">
      <w:bodyDiv w:val="1"/>
      <w:marLeft w:val="0"/>
      <w:marRight w:val="0"/>
      <w:marTop w:val="0"/>
      <w:marBottom w:val="0"/>
      <w:divBdr>
        <w:top w:val="none" w:sz="0" w:space="0" w:color="auto"/>
        <w:left w:val="none" w:sz="0" w:space="0" w:color="auto"/>
        <w:bottom w:val="none" w:sz="0" w:space="0" w:color="auto"/>
        <w:right w:val="none" w:sz="0" w:space="0" w:color="auto"/>
      </w:divBdr>
    </w:div>
    <w:div w:id="74480122">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347217682">
      <w:bodyDiv w:val="1"/>
      <w:marLeft w:val="0"/>
      <w:marRight w:val="0"/>
      <w:marTop w:val="0"/>
      <w:marBottom w:val="0"/>
      <w:divBdr>
        <w:top w:val="none" w:sz="0" w:space="0" w:color="auto"/>
        <w:left w:val="none" w:sz="0" w:space="0" w:color="auto"/>
        <w:bottom w:val="none" w:sz="0" w:space="0" w:color="auto"/>
        <w:right w:val="none" w:sz="0" w:space="0" w:color="auto"/>
      </w:divBdr>
    </w:div>
    <w:div w:id="381565939">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88855082">
      <w:bodyDiv w:val="1"/>
      <w:marLeft w:val="0"/>
      <w:marRight w:val="0"/>
      <w:marTop w:val="0"/>
      <w:marBottom w:val="0"/>
      <w:divBdr>
        <w:top w:val="none" w:sz="0" w:space="0" w:color="auto"/>
        <w:left w:val="none" w:sz="0" w:space="0" w:color="auto"/>
        <w:bottom w:val="none" w:sz="0" w:space="0" w:color="auto"/>
        <w:right w:val="none" w:sz="0" w:space="0" w:color="auto"/>
      </w:divBdr>
    </w:div>
    <w:div w:id="668949177">
      <w:bodyDiv w:val="1"/>
      <w:marLeft w:val="0"/>
      <w:marRight w:val="0"/>
      <w:marTop w:val="0"/>
      <w:marBottom w:val="0"/>
      <w:divBdr>
        <w:top w:val="none" w:sz="0" w:space="0" w:color="auto"/>
        <w:left w:val="none" w:sz="0" w:space="0" w:color="auto"/>
        <w:bottom w:val="none" w:sz="0" w:space="0" w:color="auto"/>
        <w:right w:val="none" w:sz="0" w:space="0" w:color="auto"/>
      </w:divBdr>
    </w:div>
    <w:div w:id="721099533">
      <w:bodyDiv w:val="1"/>
      <w:marLeft w:val="0"/>
      <w:marRight w:val="0"/>
      <w:marTop w:val="0"/>
      <w:marBottom w:val="0"/>
      <w:divBdr>
        <w:top w:val="none" w:sz="0" w:space="0" w:color="auto"/>
        <w:left w:val="none" w:sz="0" w:space="0" w:color="auto"/>
        <w:bottom w:val="none" w:sz="0" w:space="0" w:color="auto"/>
        <w:right w:val="none" w:sz="0" w:space="0" w:color="auto"/>
      </w:divBdr>
    </w:div>
    <w:div w:id="738941840">
      <w:bodyDiv w:val="1"/>
      <w:marLeft w:val="0"/>
      <w:marRight w:val="0"/>
      <w:marTop w:val="0"/>
      <w:marBottom w:val="0"/>
      <w:divBdr>
        <w:top w:val="none" w:sz="0" w:space="0" w:color="auto"/>
        <w:left w:val="none" w:sz="0" w:space="0" w:color="auto"/>
        <w:bottom w:val="none" w:sz="0" w:space="0" w:color="auto"/>
        <w:right w:val="none" w:sz="0" w:space="0" w:color="auto"/>
      </w:divBdr>
    </w:div>
    <w:div w:id="837766439">
      <w:bodyDiv w:val="1"/>
      <w:marLeft w:val="0"/>
      <w:marRight w:val="0"/>
      <w:marTop w:val="0"/>
      <w:marBottom w:val="0"/>
      <w:divBdr>
        <w:top w:val="none" w:sz="0" w:space="0" w:color="auto"/>
        <w:left w:val="none" w:sz="0" w:space="0" w:color="auto"/>
        <w:bottom w:val="none" w:sz="0" w:space="0" w:color="auto"/>
        <w:right w:val="none" w:sz="0" w:space="0" w:color="auto"/>
      </w:divBdr>
    </w:div>
    <w:div w:id="843401412">
      <w:bodyDiv w:val="1"/>
      <w:marLeft w:val="0"/>
      <w:marRight w:val="0"/>
      <w:marTop w:val="0"/>
      <w:marBottom w:val="0"/>
      <w:divBdr>
        <w:top w:val="none" w:sz="0" w:space="0" w:color="auto"/>
        <w:left w:val="none" w:sz="0" w:space="0" w:color="auto"/>
        <w:bottom w:val="none" w:sz="0" w:space="0" w:color="auto"/>
        <w:right w:val="none" w:sz="0" w:space="0" w:color="auto"/>
      </w:divBdr>
    </w:div>
    <w:div w:id="885289754">
      <w:bodyDiv w:val="1"/>
      <w:marLeft w:val="0"/>
      <w:marRight w:val="0"/>
      <w:marTop w:val="0"/>
      <w:marBottom w:val="0"/>
      <w:divBdr>
        <w:top w:val="none" w:sz="0" w:space="0" w:color="auto"/>
        <w:left w:val="none" w:sz="0" w:space="0" w:color="auto"/>
        <w:bottom w:val="none" w:sz="0" w:space="0" w:color="auto"/>
        <w:right w:val="none" w:sz="0" w:space="0" w:color="auto"/>
      </w:divBdr>
    </w:div>
    <w:div w:id="887837824">
      <w:bodyDiv w:val="1"/>
      <w:marLeft w:val="0"/>
      <w:marRight w:val="0"/>
      <w:marTop w:val="0"/>
      <w:marBottom w:val="0"/>
      <w:divBdr>
        <w:top w:val="none" w:sz="0" w:space="0" w:color="auto"/>
        <w:left w:val="none" w:sz="0" w:space="0" w:color="auto"/>
        <w:bottom w:val="none" w:sz="0" w:space="0" w:color="auto"/>
        <w:right w:val="none" w:sz="0" w:space="0" w:color="auto"/>
      </w:divBdr>
    </w:div>
    <w:div w:id="1289701047">
      <w:bodyDiv w:val="1"/>
      <w:marLeft w:val="0"/>
      <w:marRight w:val="0"/>
      <w:marTop w:val="0"/>
      <w:marBottom w:val="0"/>
      <w:divBdr>
        <w:top w:val="none" w:sz="0" w:space="0" w:color="auto"/>
        <w:left w:val="none" w:sz="0" w:space="0" w:color="auto"/>
        <w:bottom w:val="none" w:sz="0" w:space="0" w:color="auto"/>
        <w:right w:val="none" w:sz="0" w:space="0" w:color="auto"/>
      </w:divBdr>
    </w:div>
    <w:div w:id="1429739763">
      <w:bodyDiv w:val="1"/>
      <w:marLeft w:val="0"/>
      <w:marRight w:val="0"/>
      <w:marTop w:val="0"/>
      <w:marBottom w:val="0"/>
      <w:divBdr>
        <w:top w:val="none" w:sz="0" w:space="0" w:color="auto"/>
        <w:left w:val="none" w:sz="0" w:space="0" w:color="auto"/>
        <w:bottom w:val="none" w:sz="0" w:space="0" w:color="auto"/>
        <w:right w:val="none" w:sz="0" w:space="0" w:color="auto"/>
      </w:divBdr>
    </w:div>
    <w:div w:id="1436443912">
      <w:bodyDiv w:val="1"/>
      <w:marLeft w:val="0"/>
      <w:marRight w:val="0"/>
      <w:marTop w:val="0"/>
      <w:marBottom w:val="0"/>
      <w:divBdr>
        <w:top w:val="none" w:sz="0" w:space="0" w:color="auto"/>
        <w:left w:val="none" w:sz="0" w:space="0" w:color="auto"/>
        <w:bottom w:val="none" w:sz="0" w:space="0" w:color="auto"/>
        <w:right w:val="none" w:sz="0" w:space="0" w:color="auto"/>
      </w:divBdr>
    </w:div>
    <w:div w:id="1450508874">
      <w:bodyDiv w:val="1"/>
      <w:marLeft w:val="0"/>
      <w:marRight w:val="0"/>
      <w:marTop w:val="0"/>
      <w:marBottom w:val="0"/>
      <w:divBdr>
        <w:top w:val="none" w:sz="0" w:space="0" w:color="auto"/>
        <w:left w:val="none" w:sz="0" w:space="0" w:color="auto"/>
        <w:bottom w:val="none" w:sz="0" w:space="0" w:color="auto"/>
        <w:right w:val="none" w:sz="0" w:space="0" w:color="auto"/>
      </w:divBdr>
    </w:div>
    <w:div w:id="1525090781">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10965519">
      <w:bodyDiv w:val="1"/>
      <w:marLeft w:val="0"/>
      <w:marRight w:val="0"/>
      <w:marTop w:val="0"/>
      <w:marBottom w:val="0"/>
      <w:divBdr>
        <w:top w:val="none" w:sz="0" w:space="0" w:color="auto"/>
        <w:left w:val="none" w:sz="0" w:space="0" w:color="auto"/>
        <w:bottom w:val="none" w:sz="0" w:space="0" w:color="auto"/>
        <w:right w:val="none" w:sz="0" w:space="0" w:color="auto"/>
      </w:divBdr>
    </w:div>
    <w:div w:id="1740513732">
      <w:bodyDiv w:val="1"/>
      <w:marLeft w:val="0"/>
      <w:marRight w:val="0"/>
      <w:marTop w:val="0"/>
      <w:marBottom w:val="0"/>
      <w:divBdr>
        <w:top w:val="none" w:sz="0" w:space="0" w:color="auto"/>
        <w:left w:val="none" w:sz="0" w:space="0" w:color="auto"/>
        <w:bottom w:val="none" w:sz="0" w:space="0" w:color="auto"/>
        <w:right w:val="none" w:sz="0" w:space="0" w:color="auto"/>
      </w:divBdr>
    </w:div>
    <w:div w:id="1771198143">
      <w:bodyDiv w:val="1"/>
      <w:marLeft w:val="0"/>
      <w:marRight w:val="0"/>
      <w:marTop w:val="0"/>
      <w:marBottom w:val="0"/>
      <w:divBdr>
        <w:top w:val="none" w:sz="0" w:space="0" w:color="auto"/>
        <w:left w:val="none" w:sz="0" w:space="0" w:color="auto"/>
        <w:bottom w:val="none" w:sz="0" w:space="0" w:color="auto"/>
        <w:right w:val="none" w:sz="0" w:space="0" w:color="auto"/>
      </w:divBdr>
    </w:div>
    <w:div w:id="1790395883">
      <w:bodyDiv w:val="1"/>
      <w:marLeft w:val="0"/>
      <w:marRight w:val="0"/>
      <w:marTop w:val="0"/>
      <w:marBottom w:val="0"/>
      <w:divBdr>
        <w:top w:val="none" w:sz="0" w:space="0" w:color="auto"/>
        <w:left w:val="none" w:sz="0" w:space="0" w:color="auto"/>
        <w:bottom w:val="none" w:sz="0" w:space="0" w:color="auto"/>
        <w:right w:val="none" w:sz="0" w:space="0" w:color="auto"/>
      </w:divBdr>
    </w:div>
    <w:div w:id="1884318231">
      <w:bodyDiv w:val="1"/>
      <w:marLeft w:val="0"/>
      <w:marRight w:val="0"/>
      <w:marTop w:val="0"/>
      <w:marBottom w:val="0"/>
      <w:divBdr>
        <w:top w:val="none" w:sz="0" w:space="0" w:color="auto"/>
        <w:left w:val="none" w:sz="0" w:space="0" w:color="auto"/>
        <w:bottom w:val="none" w:sz="0" w:space="0" w:color="auto"/>
        <w:right w:val="none" w:sz="0" w:space="0" w:color="auto"/>
      </w:divBdr>
    </w:div>
    <w:div w:id="1909613968">
      <w:bodyDiv w:val="1"/>
      <w:marLeft w:val="0"/>
      <w:marRight w:val="0"/>
      <w:marTop w:val="0"/>
      <w:marBottom w:val="0"/>
      <w:divBdr>
        <w:top w:val="none" w:sz="0" w:space="0" w:color="auto"/>
        <w:left w:val="none" w:sz="0" w:space="0" w:color="auto"/>
        <w:bottom w:val="none" w:sz="0" w:space="0" w:color="auto"/>
        <w:right w:val="none" w:sz="0" w:space="0" w:color="auto"/>
      </w:divBdr>
    </w:div>
    <w:div w:id="1919898334">
      <w:bodyDiv w:val="1"/>
      <w:marLeft w:val="0"/>
      <w:marRight w:val="0"/>
      <w:marTop w:val="0"/>
      <w:marBottom w:val="0"/>
      <w:divBdr>
        <w:top w:val="none" w:sz="0" w:space="0" w:color="auto"/>
        <w:left w:val="none" w:sz="0" w:space="0" w:color="auto"/>
        <w:bottom w:val="none" w:sz="0" w:space="0" w:color="auto"/>
        <w:right w:val="none" w:sz="0" w:space="0" w:color="auto"/>
      </w:divBdr>
    </w:div>
    <w:div w:id="204775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D7694-5122-4485-AD77-5B5E84861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3422</Words>
  <Characters>21561</Characters>
  <Application>Microsoft Office Word</Application>
  <DocSecurity>8</DocSecurity>
  <Lines>179</Lines>
  <Paragraphs>49</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Conradi, Daniel</dc:creator>
  <cp:keywords>, docId:C70DA6ACF6A14E7D9D167207D47212AD</cp:keywords>
  <cp:lastModifiedBy>Reitz, Elena</cp:lastModifiedBy>
  <cp:revision>6</cp:revision>
  <cp:lastPrinted>2016-04-06T09:15:00Z</cp:lastPrinted>
  <dcterms:created xsi:type="dcterms:W3CDTF">2026-07-01T12:30:00Z</dcterms:created>
  <dcterms:modified xsi:type="dcterms:W3CDTF">2026-07-07T04:54:00Z</dcterms:modified>
</cp:coreProperties>
</file>